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2.jpeg" ContentType="image/jpe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tabs>
          <w:tab w:val="clear" w:pos="708"/>
          <w:tab w:val="left" w:pos="5385" w:leader="none"/>
        </w:tabs>
        <w:spacing w:before="0" w:after="200"/>
        <w:contextualSpacing/>
        <w:rPr>
          <w:rFonts w:ascii="Times New Roman" w:hAnsi="Times New Roman"/>
          <w:b/>
          <w:sz w:val="24"/>
        </w:rPr>
      </w:pPr>
      <w:r>
        <w:rPr/>
        <w:drawing>
          <wp:inline distT="0" distB="0" distL="0" distR="0">
            <wp:extent cx="6002020" cy="8262620"/>
            <wp:effectExtent l="0" t="0" r="0" b="0"/>
            <wp:docPr id="1"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
                    <pic:cNvPicPr>
                      <a:picLocks noChangeAspect="1" noChangeArrowheads="1"/>
                    </pic:cNvPicPr>
                  </pic:nvPicPr>
                  <pic:blipFill>
                    <a:blip r:embed="rId2"/>
                    <a:stretch>
                      <a:fillRect/>
                    </a:stretch>
                  </pic:blipFill>
                  <pic:spPr bwMode="auto">
                    <a:xfrm>
                      <a:off x="0" y="0"/>
                      <a:ext cx="6002020" cy="8262620"/>
                    </a:xfrm>
                    <a:prstGeom prst="rect">
                      <a:avLst/>
                    </a:prstGeom>
                  </pic:spPr>
                </pic:pic>
              </a:graphicData>
            </a:graphic>
          </wp:inline>
        </w:drawing>
      </w:r>
    </w:p>
    <w:p>
      <w:pPr>
        <w:pStyle w:val="NormalWeb1"/>
        <w:spacing w:before="0" w:after="187"/>
        <w:rPr>
          <w:color w:val="000000"/>
        </w:rPr>
      </w:pPr>
      <w:r>
        <w:rPr>
          <w:color w:val="000000"/>
        </w:rPr>
      </w:r>
    </w:p>
    <w:p>
      <w:pPr>
        <w:pStyle w:val="NormalWeb1"/>
        <w:spacing w:before="0" w:after="187"/>
        <w:rPr>
          <w:color w:val="000000"/>
        </w:rPr>
      </w:pPr>
      <w:r>
        <w:rPr>
          <w:color w:val="000000"/>
        </w:rPr>
      </w:r>
    </w:p>
    <w:p>
      <w:pPr>
        <w:pStyle w:val="NormalWeb1"/>
        <w:spacing w:before="0" w:after="187"/>
        <w:rPr>
          <w:color w:val="000000"/>
        </w:rPr>
      </w:pPr>
      <w:r>
        <w:rPr>
          <w:color w:val="000000"/>
        </w:rPr>
      </w:r>
    </w:p>
    <w:p>
      <w:pPr>
        <w:pStyle w:val="NormalWeb1"/>
        <w:spacing w:before="0" w:after="187"/>
        <w:rPr>
          <w:color w:val="000000"/>
        </w:rPr>
      </w:pPr>
      <w:r>
        <w:rPr>
          <w:color w:val="000000"/>
        </w:rPr>
        <w:t>1) начальная общеобразовательная школа,</w:t>
        <w:br/>
        <w:t>2) основная общеобразовательная школа,</w:t>
        <w:br/>
        <w:t>3) средняя общеобразовательная школа.</w:t>
      </w:r>
    </w:p>
    <w:p>
      <w:pPr>
        <w:pStyle w:val="Style10"/>
        <w:spacing w:before="0" w:after="187"/>
        <w:rPr>
          <w:color w:val="000000"/>
        </w:rPr>
      </w:pPr>
      <w:r>
        <w:rPr>
          <w:rFonts w:ascii="Arial;serif" w:hAnsi="Arial;serif"/>
          <w:color w:val="000000"/>
          <w:sz w:val="24"/>
        </w:rPr>
        <w:t>Р</w:t>
      </w:r>
      <w:r>
        <w:rPr>
          <w:rFonts w:ascii="Tinos" w:hAnsi="Tinos"/>
          <w:color w:val="000000"/>
          <w:sz w:val="24"/>
        </w:rPr>
        <w:t>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заявление о приеме на обучение и документы для приема на обучение, указанные в пунктах 2.6 Административного регламента, подает (подают) одним из следующих способов:</w:t>
      </w:r>
    </w:p>
    <w:p>
      <w:pPr>
        <w:pStyle w:val="Style10"/>
        <w:jc w:val="both"/>
        <w:rPr>
          <w:rFonts w:ascii="Tinos" w:hAnsi="Tinos"/>
          <w:sz w:val="24"/>
        </w:rPr>
      </w:pPr>
      <w:r>
        <w:rPr>
          <w:rFonts w:ascii="Tinos" w:hAnsi="Tinos"/>
          <w:sz w:val="24"/>
        </w:rPr>
        <w:t>в электронной форме посредством ЕПГУ;</w:t>
      </w:r>
    </w:p>
    <w:p>
      <w:pPr>
        <w:pStyle w:val="Style10"/>
        <w:jc w:val="both"/>
        <w:rPr>
          <w:rFonts w:ascii="Tinos" w:hAnsi="Tinos"/>
          <w:sz w:val="24"/>
        </w:rPr>
      </w:pPr>
      <w:r>
        <w:rPr>
          <w:rFonts w:ascii="Tinos" w:hAnsi="Tinos"/>
          <w:sz w:val="24"/>
        </w:rPr>
        <w:t>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pPr>
        <w:pStyle w:val="Style10"/>
        <w:jc w:val="both"/>
        <w:rPr>
          <w:rFonts w:ascii="Tinos" w:hAnsi="Tinos"/>
          <w:sz w:val="24"/>
        </w:rPr>
      </w:pPr>
      <w:r>
        <w:rPr>
          <w:rFonts w:ascii="Tinos" w:hAnsi="Tinos"/>
          <w:sz w:val="24"/>
        </w:rPr>
        <w:t>через операторов почтовой связи общего пользования заказным письмом с уведомлением о вручении.</w:t>
      </w:r>
    </w:p>
    <w:p>
      <w:pPr>
        <w:pStyle w:val="Style10"/>
        <w:jc w:val="both"/>
        <w:rPr>
          <w:rFonts w:ascii="Tinos" w:hAnsi="Tinos"/>
          <w:sz w:val="24"/>
        </w:rPr>
      </w:pPr>
      <w:r>
        <w:rPr>
          <w:rFonts w:ascii="Tinos" w:hAnsi="Tinos"/>
          <w:sz w:val="24"/>
        </w:rPr>
        <w:t>После представления документов, предусмотренных пунктами 26(1) и 26(2) Порядка, в течение 5 рабочих дней общеобразовательной организацией проводится проверка их комплектности.</w:t>
      </w:r>
    </w:p>
    <w:p>
      <w:pPr>
        <w:pStyle w:val="Style10"/>
        <w:jc w:val="both"/>
        <w:rPr>
          <w:rFonts w:ascii="Tinos" w:hAnsi="Tinos"/>
          <w:sz w:val="24"/>
        </w:rPr>
      </w:pPr>
      <w:r>
        <w:rPr>
          <w:rFonts w:ascii="Tinos" w:hAnsi="Tinos"/>
          <w:sz w:val="24"/>
        </w:rPr>
        <w:t>В случае представления неполного комплекта документов, предусмотренных пунктом 2.6. Административного регламента, общеобразовательная организация возвращает заявление без его рассмотрения.</w:t>
      </w:r>
    </w:p>
    <w:p>
      <w:pPr>
        <w:pStyle w:val="Style10"/>
        <w:jc w:val="both"/>
        <w:rPr>
          <w:rFonts w:ascii="Tinos" w:hAnsi="Tinos"/>
          <w:sz w:val="24"/>
        </w:rPr>
      </w:pPr>
      <w:r>
        <w:rPr>
          <w:rFonts w:ascii="Tinos" w:hAnsi="Tinos"/>
          <w:sz w:val="24"/>
        </w:rPr>
        <w:t>В случае представления полного комплекта документов, предусмотренных пунктом 2.6. Административного регламента, общеобразовательная организация в течение 25 рабочих дней осуществляет проверку достоверности предоставленных документов. При проведении указанной проверки общеобразовательная организация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pPr>
        <w:pStyle w:val="Style10"/>
        <w:jc w:val="both"/>
        <w:rPr>
          <w:rFonts w:ascii="Tinos" w:hAnsi="Tinos"/>
          <w:sz w:val="24"/>
        </w:rPr>
      </w:pPr>
      <w:r>
        <w:rPr>
          <w:rFonts w:ascii="Tinos" w:hAnsi="Tinos"/>
          <w:sz w:val="24"/>
        </w:rPr>
        <w:t>В случае представления полного комплекта документов, предусмотренных пунктом 2.6. Административного регламента,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общеобразовательной организацией в государственную или муниципальную общеобразовательную организацию (далее - тестирующая организация)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(далее - тестирование).</w:t>
      </w:r>
    </w:p>
    <w:p>
      <w:pPr>
        <w:pStyle w:val="Style10"/>
        <w:jc w:val="both"/>
        <w:rPr>
          <w:rFonts w:ascii="Tinos" w:hAnsi="Tinos"/>
          <w:sz w:val="24"/>
        </w:rPr>
      </w:pPr>
      <w:r>
        <w:rPr>
          <w:rFonts w:ascii="Tinos" w:hAnsi="Tinos"/>
          <w:sz w:val="24"/>
        </w:rPr>
        <w:t>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ЕПГУ (при наличии).</w:t>
      </w:r>
    </w:p>
    <w:p>
      <w:pPr>
        <w:pStyle w:val="Style10"/>
        <w:jc w:val="both"/>
        <w:rPr>
          <w:rFonts w:ascii="Tinos" w:hAnsi="Tinos"/>
          <w:sz w:val="24"/>
        </w:rPr>
      </w:pPr>
      <w:r>
        <w:rPr>
          <w:rFonts w:ascii="Tinos" w:hAnsi="Tinos"/>
          <w:sz w:val="24"/>
        </w:rPr>
        <w:t>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общеобразовательная организация уведомляет тестирующую организацию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pPr>
        <w:pStyle w:val="Style10"/>
        <w:jc w:val="both"/>
        <w:rPr>
          <w:rFonts w:ascii="Tinos" w:hAnsi="Tinos"/>
          <w:sz w:val="24"/>
        </w:rPr>
      </w:pPr>
      <w:r>
        <w:rPr>
          <w:rFonts w:ascii="Tinos" w:hAnsi="Tinos"/>
          <w:sz w:val="24"/>
        </w:rPr>
        <w:t>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общеобразовательную организацию, выдавшую направление,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pPr>
        <w:pStyle w:val="Style10"/>
        <w:jc w:val="both"/>
        <w:rPr>
          <w:rFonts w:ascii="Tinos" w:hAnsi="Tinos"/>
          <w:sz w:val="24"/>
        </w:rPr>
      </w:pPr>
      <w:r>
        <w:rPr>
          <w:rFonts w:ascii="Tinos" w:hAnsi="Tinos"/>
          <w:sz w:val="24"/>
        </w:rPr>
        <w:t>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общеобразовательной организацией направляется по адресу (почтовый или электронный), указанному в заявлении о приеме на обучение, и в личный кабинет ЕПГУ (при наличии).".</w:t>
      </w:r>
    </w:p>
    <w:p>
      <w:pPr>
        <w:pStyle w:val="NormalWeb1"/>
        <w:spacing w:before="0" w:after="187"/>
        <w:jc w:val="both"/>
        <w:rPr>
          <w:color w:val="000000"/>
        </w:rPr>
      </w:pPr>
      <w:r>
        <w:rPr>
          <w:b/>
          <w:color w:val="000000"/>
        </w:rPr>
        <w:t>2. Порядок приёма</w:t>
      </w:r>
    </w:p>
    <w:p>
      <w:pPr>
        <w:pStyle w:val="NormalWeb1"/>
        <w:spacing w:before="0" w:after="187"/>
        <w:jc w:val="both"/>
        <w:rPr>
          <w:color w:val="000000"/>
        </w:rPr>
      </w:pPr>
      <w:r>
        <w:rPr>
          <w:color w:val="000000"/>
        </w:rPr>
        <w:t>2.1. В МБОУ « Коргузинская СОШ» (далее — Школа) принимаются все дети, имеющие право на получение общего образования и проживающие на  территории, за которой закреплена Школа на принципах равных условий для всех поступающих.</w:t>
      </w:r>
    </w:p>
    <w:p>
      <w:pPr>
        <w:pStyle w:val="NormalWeb1"/>
        <w:spacing w:before="0" w:after="187"/>
        <w:jc w:val="both"/>
        <w:rPr>
          <w:color w:val="000000"/>
        </w:rPr>
      </w:pPr>
      <w:r>
        <w:rPr>
          <w:color w:val="000000"/>
        </w:rPr>
        <w:t>2.1.1.Требование обязательности среднего общего образования применительно к конкретному учащемуся сохраняет силу до достижения им возраста восемнадцати лет, если соответствующее образование не было получено им ранее.</w:t>
      </w:r>
    </w:p>
    <w:p>
      <w:pPr>
        <w:pStyle w:val="NormalWeb1"/>
        <w:spacing w:before="0" w:after="187"/>
        <w:jc w:val="both"/>
        <w:rPr>
          <w:color w:val="000000"/>
        </w:rPr>
      </w:pPr>
      <w:r>
        <w:rPr>
          <w:color w:val="000000"/>
        </w:rPr>
        <w:t>2.1.2.В приеме в Школу может быть отказано только по причине отсутствия в ней свободных мест. Свободными считаются места в классе наполняемостью менее расчетной, которая определяется исходя из расчета площади на одного учащегося и расстановки мебели (п 4.9. Санитарно-эпидемиологических требований к условиям и организации обучения в общеобразовательных организациях. Санитарно-эпидемиологических правил и нормативов. СанПиН 2.4.2.2821−10 (далее СанПиН), утвержденных Постановлением Главного государственного санитарного врача РФ от 29 декабря 2010 г. № 189).</w:t>
      </w:r>
    </w:p>
    <w:p>
      <w:pPr>
        <w:pStyle w:val="Normal"/>
        <w:jc w:val="both"/>
        <w:rPr>
          <w:rFonts w:ascii="Tinos" w:hAnsi="Tinos"/>
          <w:sz w:val="24"/>
          <w:szCs w:val="24"/>
        </w:rPr>
      </w:pPr>
      <w:r>
        <w:rPr>
          <w:rFonts w:ascii="Tinos" w:hAnsi="Tinos"/>
          <w:color w:val="000000"/>
          <w:sz w:val="24"/>
          <w:szCs w:val="24"/>
        </w:rPr>
        <w:t>В соответствии с ч.4 ст 67 Федерального закона от 29.12.2012 г. № 273-ФЗ «Об образовании в Российской Федерации» в приеме в государственную или муниципальную образовательную организацию может быть отказано только по причине отсутствия в ней свободных мест, а также при невыполнении условий установленных частью 2.1 статьи 78 настоящего Федерального закона, за исключением случаев, предусмотренных частями 5 и 6 настоящей статьи и статьей 88 настоящего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исполнительный орган субъекта Российской Федерации, осуществляющий государственное управлениев сфере образования, или орган местного самоуправления, осуществляющий управление в сфере образования.</w:t>
      </w:r>
    </w:p>
    <w:p>
      <w:pPr>
        <w:pStyle w:val="NormalWeb1"/>
        <w:spacing w:before="0" w:after="187"/>
        <w:jc w:val="both"/>
        <w:rPr>
          <w:color w:val="000000"/>
        </w:rPr>
      </w:pPr>
      <w:r>
        <w:rPr>
          <w:color w:val="000000"/>
        </w:rPr>
        <w:t>2.2. В первый класс принимаются дети по достижении возраста шести с половиной лет при отсутствии противопоказаний по состоянию здоровья, но не позже восьми лет. По заявлению родителей (законных представителей) детей учредитель вправе разрешить прием детей в первый класс в более раннем или более позднем возрасте.</w:t>
      </w:r>
    </w:p>
    <w:p>
      <w:pPr>
        <w:pStyle w:val="NormalWeb1"/>
        <w:spacing w:before="0" w:after="187"/>
        <w:jc w:val="both"/>
        <w:rPr>
          <w:color w:val="000000"/>
        </w:rPr>
      </w:pPr>
      <w:r>
        <w:rPr>
          <w:color w:val="000000"/>
        </w:rPr>
        <w:t>2.3. Распорядительный акт органа местного Исполнительного комитета Верхнеуслонского  муниципального района, о закреплении образовательных организаций за конкретными территориями муниципального района подлежит размещению на информационном стенде и официальном сайте Школы в сети «Интернет» не позднее 10 календарных дней со дня его издания.</w:t>
      </w:r>
    </w:p>
    <w:p>
      <w:pPr>
        <w:pStyle w:val="NormalWeb1"/>
        <w:spacing w:before="0" w:after="187"/>
        <w:jc w:val="both"/>
        <w:rPr>
          <w:color w:val="000000"/>
        </w:rPr>
      </w:pPr>
      <w:r>
        <w:rPr>
          <w:color w:val="000000"/>
        </w:rPr>
        <w:t>2.4. С целью проведения организованного приема в первый класс детей  Школа, не позднее 10 календарных дней с момента издания распорядительного акта о ее закреплении за конкретной территорией, размещает на информационном стенде, на официальном сайте в сети «Интернет», в средствах массовой информации (в том числе электронных) информацию о количестве мест в первых классах.</w:t>
      </w:r>
    </w:p>
    <w:p>
      <w:pPr>
        <w:pStyle w:val="NormalWeb1"/>
        <w:spacing w:before="0" w:after="187"/>
        <w:jc w:val="both"/>
        <w:rPr>
          <w:color w:val="000000"/>
        </w:rPr>
      </w:pPr>
      <w:r>
        <w:rPr>
          <w:color w:val="000000"/>
        </w:rPr>
        <w:t>2.5. Не позднее 1 июля Школа размещает на информационном стенде, на официальном сайте в сети «Интернет», в средствах массовой информации (в том числе электронных) информацию о наличии свободных мест для приема детей, не проживающих на территории, за которой она закреплена.</w:t>
      </w:r>
    </w:p>
    <w:p>
      <w:pPr>
        <w:pStyle w:val="NormalWeb1"/>
        <w:spacing w:before="0" w:after="187"/>
        <w:jc w:val="both"/>
        <w:rPr>
          <w:color w:val="000000"/>
        </w:rPr>
      </w:pPr>
      <w:r>
        <w:rPr>
          <w:color w:val="000000"/>
        </w:rPr>
        <w:t>2.6. Прием заявлений в первый класс для граждан, проживающих на территории, закрепленной за школой, начинается не позднее 1 февраля текущего года и завершается при заполнении свободных мест.</w:t>
      </w:r>
    </w:p>
    <w:p>
      <w:pPr>
        <w:pStyle w:val="NormalWeb1"/>
        <w:spacing w:before="0" w:after="187"/>
        <w:jc w:val="both"/>
        <w:rPr>
          <w:color w:val="000000"/>
        </w:rPr>
      </w:pPr>
      <w:r>
        <w:rPr>
          <w:color w:val="000000"/>
        </w:rPr>
        <w:t>2.7. Прием заявлений в первый класс для граждан, не проживающих на территории, закрепленной за школой, начинается с 1 июля текущего года и завершается при заполнении свободных мест.</w:t>
      </w:r>
    </w:p>
    <w:p>
      <w:pPr>
        <w:pStyle w:val="NormalWeb1"/>
        <w:spacing w:before="0" w:after="187"/>
        <w:jc w:val="both"/>
        <w:rPr>
          <w:color w:val="000000"/>
        </w:rPr>
      </w:pPr>
      <w:r>
        <w:rPr>
          <w:color w:val="000000"/>
        </w:rPr>
        <w:t>2.8. Для удобства родителей (законных представителей) детей прием документов осуществляется в соответствии с графиком, сформированным по территориальному принципу и утвержденном директором.</w:t>
      </w:r>
    </w:p>
    <w:p>
      <w:pPr>
        <w:pStyle w:val="NormalWeb1"/>
        <w:spacing w:before="0" w:after="187"/>
        <w:jc w:val="both"/>
        <w:rPr>
          <w:color w:val="000000"/>
        </w:rPr>
      </w:pPr>
      <w:r>
        <w:rPr>
          <w:color w:val="000000"/>
        </w:rPr>
        <w:t>2.9. При наличии свободных мест, Школа вправе осуществлять прием детей во все классы в течение всего года.</w:t>
      </w:r>
    </w:p>
    <w:p>
      <w:pPr>
        <w:pStyle w:val="NormalWeb1"/>
        <w:spacing w:before="0" w:after="187"/>
        <w:jc w:val="both"/>
        <w:rPr>
          <w:color w:val="000000"/>
        </w:rPr>
      </w:pPr>
      <w:r>
        <w:rPr>
          <w:b/>
          <w:color w:val="000000"/>
        </w:rPr>
        <w:t>3. Документы, предоставляемые при поступлении в Школу:</w:t>
      </w:r>
    </w:p>
    <w:p>
      <w:pPr>
        <w:pStyle w:val="NormalWeb1"/>
        <w:spacing w:before="0" w:after="187"/>
        <w:jc w:val="both"/>
        <w:rPr>
          <w:color w:val="000000"/>
        </w:rPr>
      </w:pPr>
      <w:r>
        <w:rPr>
          <w:color w:val="000000"/>
        </w:rPr>
        <w:t>3.1. Прием детей в Школу для получения начального и основного общего образования осуществляется на основании личного заявления их законных представителей при предъявлении оригинала документа, удостоверяющего их личность, либо оригинала документа, удостоверяющего личность иностранного гражданина и лица без гражданства в Российской Федерации. (Примерная форма заявления размещена на информационном стенде и на официальном сайте Школы в сети «Интернет».)</w:t>
      </w:r>
    </w:p>
    <w:p>
      <w:pPr>
        <w:pStyle w:val="NormalWeb1"/>
        <w:spacing w:before="0" w:after="187"/>
        <w:jc w:val="both"/>
        <w:rPr>
          <w:color w:val="000000"/>
        </w:rPr>
      </w:pPr>
      <w:r>
        <w:rPr>
          <w:color w:val="000000"/>
        </w:rPr>
        <w:t>В заявлении указываются следующие сведения:</w:t>
      </w:r>
    </w:p>
    <w:p>
      <w:pPr>
        <w:pStyle w:val="NormalWeb1"/>
        <w:spacing w:before="0" w:after="187"/>
        <w:jc w:val="both"/>
        <w:rPr>
          <w:color w:val="000000"/>
        </w:rPr>
      </w:pPr>
      <w:r>
        <w:rPr>
          <w:color w:val="000000"/>
        </w:rPr>
        <w:t>а) фамилия, имя, отчество (последнее — при наличии) ребенка;</w:t>
      </w:r>
    </w:p>
    <w:p>
      <w:pPr>
        <w:pStyle w:val="NormalWeb1"/>
        <w:spacing w:before="0" w:after="187"/>
        <w:jc w:val="both"/>
        <w:rPr>
          <w:color w:val="000000"/>
        </w:rPr>
      </w:pPr>
      <w:r>
        <w:rPr>
          <w:color w:val="000000"/>
        </w:rPr>
        <w:t>б) дата и место рождения ребенка;</w:t>
      </w:r>
    </w:p>
    <w:p>
      <w:pPr>
        <w:pStyle w:val="NormalWeb1"/>
        <w:spacing w:before="0" w:after="187"/>
        <w:jc w:val="both"/>
        <w:rPr>
          <w:color w:val="000000"/>
        </w:rPr>
      </w:pPr>
      <w:r>
        <w:rPr>
          <w:color w:val="000000"/>
        </w:rPr>
        <w:t>в) фамилия, имя, отчество (последнее — при наличии) законных представителей ребенка;</w:t>
      </w:r>
    </w:p>
    <w:p>
      <w:pPr>
        <w:pStyle w:val="NormalWeb1"/>
        <w:spacing w:before="0" w:after="187"/>
        <w:jc w:val="both"/>
        <w:rPr>
          <w:color w:val="000000"/>
        </w:rPr>
      </w:pPr>
      <w:r>
        <w:rPr>
          <w:color w:val="000000"/>
        </w:rPr>
        <w:t>г) адрес места жительства ребенка, его законных представителей;</w:t>
      </w:r>
    </w:p>
    <w:p>
      <w:pPr>
        <w:pStyle w:val="NormalWeb1"/>
        <w:spacing w:before="0" w:after="187"/>
        <w:jc w:val="both"/>
        <w:rPr>
          <w:color w:val="000000"/>
        </w:rPr>
      </w:pPr>
      <w:r>
        <w:rPr>
          <w:color w:val="000000"/>
        </w:rPr>
        <w:t>д) контактные телефоны законных представителей ребенка.</w:t>
      </w:r>
    </w:p>
    <w:p>
      <w:pPr>
        <w:pStyle w:val="NormalWeb1"/>
        <w:spacing w:before="0" w:after="187"/>
        <w:jc w:val="both"/>
        <w:rPr>
          <w:color w:val="000000"/>
        </w:rPr>
      </w:pPr>
      <w:r>
        <w:rPr>
          <w:color w:val="000000"/>
        </w:rPr>
        <w:t>3.2. При зачислении в первый класс ребенка, проживающего на территории за которой закреплена Школа, его законные представители дополнительно предъявляют оригинал свидетельства о рождении ребенка или документ, подтверждающий родство заявителя, свидетельство о регистрации ребенка по месту жительства или по месту пребывания на указанной территории или документ, содержащий сведения о регистрации ребенка по месту жительства или по месту его пребывания на указанной территории; законные представители детей, не проживающих на указанной территории, дополнительно предъявляют свидетельство о рождении ребенка.</w:t>
      </w:r>
    </w:p>
    <w:p>
      <w:pPr>
        <w:pStyle w:val="Normal"/>
        <w:jc w:val="both"/>
        <w:rPr>
          <w:rFonts w:ascii="Tinos" w:hAnsi="Tinos"/>
          <w:sz w:val="24"/>
          <w:szCs w:val="24"/>
        </w:rPr>
      </w:pPr>
      <w:r>
        <w:rPr>
          <w:rFonts w:ascii="Tinos" w:hAnsi="Tinos"/>
          <w:sz w:val="24"/>
          <w:szCs w:val="24"/>
        </w:rPr>
        <w:t>В соответствии с Конвенцией демографической политики Российской Федерации на период до 2025 года, утвержденной Указом Президента Российской Федерации от 09.10.2007 № 1351, основными задачами демографической политики Российской Федерации являются повышение уровня рождаемости за счет рождения в семьях второго ребенка и последующих детей; укрепление института семьи, что в свою очередь требует усиления государственной поддержки семей, имеющих детей, обеспечения их потребностей.</w:t>
      </w:r>
    </w:p>
    <w:p>
      <w:pPr>
        <w:pStyle w:val="Normal"/>
        <w:jc w:val="both"/>
        <w:rPr>
          <w:rFonts w:ascii="Tinos" w:hAnsi="Tinos"/>
          <w:sz w:val="24"/>
          <w:szCs w:val="24"/>
        </w:rPr>
      </w:pPr>
      <w:r>
        <w:rPr>
          <w:rFonts w:ascii="Tinos" w:hAnsi="Tinos"/>
          <w:sz w:val="24"/>
          <w:szCs w:val="24"/>
        </w:rPr>
        <w:t xml:space="preserve">    </w:t>
      </w:r>
      <w:r>
        <w:rPr>
          <w:rFonts w:ascii="Tinos" w:hAnsi="Tinos"/>
          <w:sz w:val="24"/>
          <w:szCs w:val="24"/>
        </w:rPr>
        <w:t>В целях осуществления прорывного научно-технологического и социально-экономического развития Российской Федерации, увеличения численности населения страны, повышения уровня жизни граждан, создания комфортных условий для их проживания, а также условий и возможностей для самореализации и раскрытии таланта каждого человека, Указом Президента Российской Федерации от 7 мая 2018 г. № 204 утвержден национальный проект «Демография».</w:t>
      </w:r>
    </w:p>
    <w:p>
      <w:pPr>
        <w:pStyle w:val="Normal"/>
        <w:jc w:val="both"/>
        <w:rPr>
          <w:rFonts w:ascii="Tinos" w:hAnsi="Tinos"/>
          <w:sz w:val="24"/>
          <w:szCs w:val="24"/>
        </w:rPr>
      </w:pPr>
      <w:r>
        <w:rPr>
          <w:rFonts w:ascii="Tinos" w:hAnsi="Tinos"/>
          <w:sz w:val="24"/>
          <w:szCs w:val="24"/>
        </w:rPr>
        <w:t xml:space="preserve">        </w:t>
      </w:r>
      <w:r>
        <w:rPr>
          <w:rFonts w:ascii="Tinos" w:hAnsi="Tinos"/>
          <w:sz w:val="24"/>
          <w:szCs w:val="24"/>
        </w:rPr>
        <w:t xml:space="preserve">Так, в соответствии с п.3.1 ст. 67 вышеуказанного Закона 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имеют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 в которой обучаются его брат и (или) сестра (полнородные и неполнородные, усыновленные (удочеренные) дети, дети, опекунами (попечителями) которых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 за исключением случаев, предусмотренных частями 5 и 6 настоящей статьи. </w:t>
      </w:r>
    </w:p>
    <w:p>
      <w:pPr>
        <w:pStyle w:val="NormalWeb1"/>
        <w:spacing w:before="0" w:after="187"/>
        <w:jc w:val="both"/>
        <w:rPr>
          <w:color w:val="000000"/>
        </w:rPr>
      </w:pPr>
      <w:r>
        <w:rPr>
          <w:color w:val="000000"/>
        </w:rPr>
        <w:t>3.2.1.Законные представители детей, являющихся иностранными гражданами или лицами без гражданства, дополнительно предъявляют документ, подтверждающий родство заявителя (или законность представления прав ребенка), и документ, подтверждающий право заявителя на пребывание в России.</w:t>
      </w:r>
    </w:p>
    <w:p>
      <w:pPr>
        <w:pStyle w:val="Style10"/>
        <w:spacing w:before="0" w:after="187"/>
        <w:jc w:val="both"/>
        <w:rPr>
          <w:rFonts w:ascii="Tinos" w:hAnsi="Tinos"/>
          <w:sz w:val="24"/>
        </w:rPr>
      </w:pPr>
      <w:r>
        <w:rPr>
          <w:rFonts w:ascii="Tinos" w:hAnsi="Tinos"/>
          <w:color w:val="000000"/>
          <w:sz w:val="24"/>
        </w:rPr>
        <w:t>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заявление о приеме на обучение и документы для приема на обучение, указанные в пунктах 2.6 Административного регламента, подает (подают) одним из следующих способов:</w:t>
      </w:r>
    </w:p>
    <w:p>
      <w:pPr>
        <w:pStyle w:val="Style10"/>
        <w:jc w:val="both"/>
        <w:rPr>
          <w:rFonts w:ascii="Tinos" w:hAnsi="Tinos"/>
          <w:sz w:val="24"/>
        </w:rPr>
      </w:pPr>
      <w:r>
        <w:rPr>
          <w:rFonts w:ascii="Tinos" w:hAnsi="Tinos"/>
          <w:sz w:val="24"/>
        </w:rPr>
        <w:t>в электронной форме посредством ЕПГУ;</w:t>
      </w:r>
    </w:p>
    <w:p>
      <w:pPr>
        <w:pStyle w:val="Style10"/>
        <w:jc w:val="both"/>
        <w:rPr>
          <w:rFonts w:ascii="Tinos" w:hAnsi="Tinos"/>
          <w:sz w:val="24"/>
        </w:rPr>
      </w:pPr>
      <w:r>
        <w:rPr>
          <w:rFonts w:ascii="Tinos" w:hAnsi="Tinos"/>
          <w:sz w:val="24"/>
        </w:rPr>
        <w:t>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pPr>
        <w:pStyle w:val="Style10"/>
        <w:jc w:val="both"/>
        <w:rPr>
          <w:rFonts w:ascii="Tinos" w:hAnsi="Tinos"/>
          <w:sz w:val="24"/>
        </w:rPr>
      </w:pPr>
      <w:r>
        <w:rPr>
          <w:rFonts w:ascii="Tinos" w:hAnsi="Tinos"/>
          <w:sz w:val="24"/>
        </w:rPr>
        <w:t>через операторов почтовой связи общего пользования заказным письмом с уведомлением о вручении.</w:t>
      </w:r>
    </w:p>
    <w:p>
      <w:pPr>
        <w:pStyle w:val="Style10"/>
        <w:jc w:val="both"/>
        <w:rPr>
          <w:rFonts w:ascii="Tinos" w:hAnsi="Tinos"/>
          <w:sz w:val="24"/>
        </w:rPr>
      </w:pPr>
      <w:r>
        <w:rPr>
          <w:rFonts w:ascii="Tinos" w:hAnsi="Tinos"/>
          <w:sz w:val="24"/>
        </w:rPr>
        <w:t>После представления документов, предусмотренных пунктами 26(1) и 26(2) Порядка, в течение 5 рабочих дней общеобразовательной организацией проводится проверка их комплектности.</w:t>
      </w:r>
    </w:p>
    <w:p>
      <w:pPr>
        <w:pStyle w:val="Style10"/>
        <w:jc w:val="both"/>
        <w:rPr>
          <w:rFonts w:ascii="Tinos" w:hAnsi="Tinos"/>
          <w:sz w:val="24"/>
        </w:rPr>
      </w:pPr>
      <w:r>
        <w:rPr>
          <w:rFonts w:ascii="Tinos" w:hAnsi="Tinos"/>
          <w:sz w:val="24"/>
        </w:rPr>
        <w:t>В случае представления неполного комплекта документов, предусмотренных пунктом 2.6. Административного регламента, общеобразовательная организация возвращает заявление без его рассмотрения.</w:t>
      </w:r>
    </w:p>
    <w:p>
      <w:pPr>
        <w:pStyle w:val="Style10"/>
        <w:jc w:val="both"/>
        <w:rPr>
          <w:rFonts w:ascii="Tinos" w:hAnsi="Tinos"/>
          <w:sz w:val="24"/>
        </w:rPr>
      </w:pPr>
      <w:r>
        <w:rPr>
          <w:rFonts w:ascii="Tinos" w:hAnsi="Tinos"/>
          <w:sz w:val="24"/>
        </w:rPr>
        <w:t>В случае представления полного комплекта документов, предусмотренных пунктом 2.6. Административного регламента, общеобразовательная организация в течение 25 рабочих дней осуществляет проверку достоверности предоставленных документов. При проведении указанной проверки общеобразовательная организация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pPr>
        <w:pStyle w:val="Style10"/>
        <w:jc w:val="both"/>
        <w:rPr>
          <w:rFonts w:ascii="Tinos" w:hAnsi="Tinos"/>
          <w:sz w:val="24"/>
        </w:rPr>
      </w:pPr>
      <w:r>
        <w:rPr>
          <w:rFonts w:ascii="Tinos" w:hAnsi="Tinos"/>
          <w:sz w:val="24"/>
        </w:rPr>
        <w:t>В случае представления полного комплекта документов, предусмотренных пунктом 2.6. Административного регламента,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общеобразовательной организацией в государственную или муниципальную общеобразовательную организацию (далее - тестирующая организация)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(далее - тестирование).</w:t>
      </w:r>
    </w:p>
    <w:p>
      <w:pPr>
        <w:pStyle w:val="Style10"/>
        <w:jc w:val="both"/>
        <w:rPr>
          <w:rFonts w:ascii="Tinos" w:hAnsi="Tinos"/>
          <w:sz w:val="24"/>
        </w:rPr>
      </w:pPr>
      <w:r>
        <w:rPr>
          <w:rFonts w:ascii="Tinos" w:hAnsi="Tinos"/>
          <w:sz w:val="24"/>
        </w:rPr>
        <w:t>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ЕПГУ (при наличии).</w:t>
      </w:r>
    </w:p>
    <w:p>
      <w:pPr>
        <w:pStyle w:val="Style10"/>
        <w:jc w:val="both"/>
        <w:rPr>
          <w:rFonts w:ascii="Tinos" w:hAnsi="Tinos"/>
          <w:sz w:val="24"/>
        </w:rPr>
      </w:pPr>
      <w:r>
        <w:rPr>
          <w:rFonts w:ascii="Tinos" w:hAnsi="Tinos"/>
          <w:sz w:val="24"/>
        </w:rPr>
        <w:t>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общеобразовательная организация уведомляет тестирующую организацию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pPr>
        <w:pStyle w:val="Style10"/>
        <w:jc w:val="both"/>
        <w:rPr>
          <w:rFonts w:ascii="Tinos" w:hAnsi="Tinos"/>
          <w:sz w:val="24"/>
        </w:rPr>
      </w:pPr>
      <w:r>
        <w:rPr>
          <w:rFonts w:ascii="Tinos" w:hAnsi="Tinos"/>
          <w:sz w:val="24"/>
        </w:rPr>
        <w:t>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общеобразовательную организацию, выдавшую направление,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pPr>
        <w:pStyle w:val="Normal"/>
        <w:jc w:val="both"/>
        <w:rPr>
          <w:rFonts w:ascii="Tinos" w:hAnsi="Tinos"/>
          <w:sz w:val="24"/>
        </w:rPr>
      </w:pPr>
      <w:r>
        <w:rPr>
          <w:rFonts w:ascii="Tinos" w:hAnsi="Tinos"/>
          <w:sz w:val="24"/>
          <w:szCs w:val="24"/>
        </w:rPr>
        <w:t>На основании ст.78 ФЗ №273 — ФЗ иностранные граждане принимаются на обучение по основным общеобразовательным программам при условии предъявления документа, подтверждающего законность их нахождения на территории Российской Федерации, а при приеме на обучение по образовательным программам начального общего , основного общего и среднего общего образования также при условии успешного прохождения на бесплатной основе в государственной или муниципальной общеобразовательной организации тестирования на знание русского языка, достаточное для освоения указанных образовательных программ. Порядок проведения такого тестирования устанавливается федеральным органом исполнительной власти, осуществляющим функции по выработке и реализации государственной политики и нормативно- правовому регулированию в сфере общего образования. Методическое обеспечение проведения тестирования, предусмотренного частью 2.1 настоящей статьи, организация разработки диагностических материалов для его проведения, критериев оценивания знания русского языка, а также определение минимального количества баллов, подтверждающего успешное прохождение такого тестирования, осуществляется федеральным органом исполнительной власти, осуществляющим функции по контролю и надзору в сфере образования. Лица, не прошедшие тестирование на знание русского языка, достаточное для освоения образовательных программ начального общего, основного общего и среднего общего образования, не допускаются до освоения указанных образовательных программ.</w:t>
      </w:r>
    </w:p>
    <w:p>
      <w:pPr>
        <w:pStyle w:val="NormalWeb1"/>
        <w:spacing w:before="0" w:after="187"/>
        <w:jc w:val="both"/>
        <w:rPr>
          <w:color w:val="000000"/>
        </w:rPr>
      </w:pPr>
      <w:r>
        <w:rPr>
          <w:color w:val="000000"/>
        </w:rPr>
        <w:t>3.2.2.Иностранные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pPr>
        <w:pStyle w:val="NormalWeb1"/>
        <w:spacing w:before="0" w:after="187"/>
        <w:jc w:val="both"/>
        <w:rPr>
          <w:color w:val="000000"/>
        </w:rPr>
      </w:pPr>
      <w:r>
        <w:rPr>
          <w:color w:val="000000"/>
        </w:rPr>
        <w:t>3.3. Законные представители детей имеют право по своему усмотрению представлять другие документы.</w:t>
      </w:r>
    </w:p>
    <w:p>
      <w:pPr>
        <w:pStyle w:val="NormalWeb1"/>
        <w:spacing w:before="0" w:after="187"/>
        <w:jc w:val="both"/>
        <w:rPr>
          <w:color w:val="000000"/>
        </w:rPr>
      </w:pPr>
      <w:r>
        <w:rPr>
          <w:color w:val="000000"/>
        </w:rPr>
        <w:t>3.4. Прием детей в Школу для получения среднего общего образования осуществляется на основании их личного заявления при предъявлении оригинала документа, удостоверяющего их личность, либо оригинала документа, удостоверяющего личность иностранного гражданина и лица без гражданства в Российской Федерации. (Примерная форма заявления размещена на информационном стенде и на официальном сайте Школы в сети «Интернет».)</w:t>
      </w:r>
    </w:p>
    <w:p>
      <w:pPr>
        <w:pStyle w:val="NormalWeb1"/>
        <w:spacing w:before="0" w:after="187"/>
        <w:jc w:val="both"/>
        <w:rPr>
          <w:color w:val="000000"/>
        </w:rPr>
      </w:pPr>
      <w:r>
        <w:rPr>
          <w:color w:val="000000"/>
        </w:rPr>
        <w:t>В заявлении указываются следующие сведения:</w:t>
      </w:r>
    </w:p>
    <w:p>
      <w:pPr>
        <w:pStyle w:val="NormalWeb1"/>
        <w:spacing w:before="0" w:after="187"/>
        <w:jc w:val="both"/>
        <w:rPr>
          <w:color w:val="000000"/>
        </w:rPr>
      </w:pPr>
      <w:r>
        <w:rPr>
          <w:color w:val="000000"/>
        </w:rPr>
        <w:t>а) фамилия, имя, отчество (последнее — при наличии) ребенка;</w:t>
      </w:r>
    </w:p>
    <w:p>
      <w:pPr>
        <w:pStyle w:val="NormalWeb1"/>
        <w:spacing w:before="0" w:after="187"/>
        <w:jc w:val="both"/>
        <w:rPr>
          <w:color w:val="000000"/>
        </w:rPr>
      </w:pPr>
      <w:r>
        <w:rPr>
          <w:color w:val="000000"/>
        </w:rPr>
        <w:t>б) дата и место рождения ребенка;</w:t>
      </w:r>
    </w:p>
    <w:p>
      <w:pPr>
        <w:pStyle w:val="NormalWeb1"/>
        <w:spacing w:before="0" w:after="187"/>
        <w:jc w:val="both"/>
        <w:rPr>
          <w:color w:val="000000"/>
        </w:rPr>
      </w:pPr>
      <w:r>
        <w:rPr>
          <w:color w:val="000000"/>
        </w:rPr>
        <w:t>в) фамилия, имя, отчество (последнее — при наличии) законных представителей ребенка;</w:t>
      </w:r>
    </w:p>
    <w:p>
      <w:pPr>
        <w:pStyle w:val="NormalWeb1"/>
        <w:spacing w:before="0" w:after="187"/>
        <w:jc w:val="both"/>
        <w:rPr>
          <w:color w:val="000000"/>
        </w:rPr>
      </w:pPr>
      <w:r>
        <w:rPr>
          <w:color w:val="000000"/>
        </w:rPr>
        <w:t>г) адрес места жительства ребенка, его законных представителей;</w:t>
      </w:r>
    </w:p>
    <w:p>
      <w:pPr>
        <w:pStyle w:val="NormalWeb1"/>
        <w:spacing w:before="0" w:after="187"/>
        <w:jc w:val="both"/>
        <w:rPr>
          <w:color w:val="000000"/>
        </w:rPr>
      </w:pPr>
      <w:r>
        <w:rPr>
          <w:color w:val="000000"/>
        </w:rPr>
        <w:t>д) контактные телефоны заявителя и его законных представителей.</w:t>
      </w:r>
    </w:p>
    <w:p>
      <w:pPr>
        <w:pStyle w:val="NormalWeb1"/>
        <w:spacing w:before="0" w:after="187"/>
        <w:jc w:val="both"/>
        <w:rPr>
          <w:color w:val="000000"/>
        </w:rPr>
      </w:pPr>
      <w:r>
        <w:rPr>
          <w:color w:val="000000"/>
        </w:rPr>
        <w:t>3.5. При поступлении в Школу для получения среднего общего образования дополнительно представляется аттестат об основном общем образовании установленного образца.</w:t>
      </w:r>
    </w:p>
    <w:p>
      <w:pPr>
        <w:pStyle w:val="NormalWeb1"/>
        <w:spacing w:before="0" w:after="187"/>
        <w:jc w:val="both"/>
        <w:rPr>
          <w:color w:val="000000"/>
        </w:rPr>
      </w:pPr>
      <w:r>
        <w:rPr>
          <w:color w:val="000000"/>
        </w:rPr>
        <w:t>3.6.Факт ознакомления родителей (законных представителей) ребенка с лицензией на осуществление образовательной деятельности, свидетельством о государственной аккредитации Школы, уставом Школы фиксируется в заявлении о приеме и заверяется личной подписью родителей (законных представителей) ребенка.</w:t>
      </w:r>
    </w:p>
    <w:p>
      <w:pPr>
        <w:pStyle w:val="NormalWeb1"/>
        <w:spacing w:before="0" w:after="187"/>
        <w:jc w:val="both"/>
        <w:rPr>
          <w:color w:val="000000"/>
        </w:rPr>
      </w:pPr>
      <w:r>
        <w:rPr>
          <w:color w:val="000000"/>
        </w:rPr>
        <w:t>Подписью родителей (законных представителей) ребенка фиксируется также согласие на обработку их персональных данных и персональных данных ребенка в порядке, установленном законодательством Российской Федерации</w:t>
      </w:r>
    </w:p>
    <w:p>
      <w:pPr>
        <w:pStyle w:val="NormalWeb1"/>
        <w:spacing w:before="0" w:after="187"/>
        <w:jc w:val="both"/>
        <w:rPr>
          <w:color w:val="000000"/>
        </w:rPr>
      </w:pPr>
      <w:r>
        <w:rPr>
          <w:color w:val="000000"/>
        </w:rPr>
        <w:t>3.7.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pPr>
        <w:pStyle w:val="NormalWeb1"/>
        <w:spacing w:before="0" w:after="187"/>
        <w:jc w:val="both"/>
        <w:rPr>
          <w:color w:val="000000"/>
        </w:rPr>
      </w:pPr>
      <w:r>
        <w:rPr>
          <w:color w:val="000000"/>
        </w:rPr>
        <w:t>3.8.Дети имеют право по своему усмотрению представлять другие документы.</w:t>
      </w:r>
    </w:p>
    <w:p>
      <w:pPr>
        <w:pStyle w:val="NormalWeb1"/>
        <w:spacing w:before="0" w:after="187"/>
        <w:jc w:val="both"/>
        <w:rPr>
          <w:color w:val="000000"/>
        </w:rPr>
      </w:pPr>
      <w:r>
        <w:rPr>
          <w:color w:val="000000"/>
        </w:rPr>
        <w:t>3.9.Прием детей с ограниченными возможностями здоровья на обучение по адаптированной основной общеобразовательной программе осуществляется только с согласия их законных представителей и на основании рекомендаций психолого-медико-педагогической комиссии.</w:t>
      </w:r>
    </w:p>
    <w:p>
      <w:pPr>
        <w:pStyle w:val="NormalWeb1"/>
        <w:spacing w:before="0" w:after="187"/>
        <w:jc w:val="both"/>
        <w:rPr>
          <w:color w:val="000000"/>
        </w:rPr>
      </w:pPr>
      <w:r>
        <w:rPr>
          <w:b/>
          <w:color w:val="000000"/>
        </w:rPr>
        <w:t>4. Документальное оформление отношений Школы и учащихся (их законных представителей):</w:t>
      </w:r>
    </w:p>
    <w:p>
      <w:pPr>
        <w:pStyle w:val="NormalWeb1"/>
        <w:spacing w:before="0" w:after="187"/>
        <w:jc w:val="both"/>
        <w:rPr>
          <w:color w:val="000000"/>
        </w:rPr>
      </w:pPr>
      <w:r>
        <w:rPr>
          <w:color w:val="000000"/>
        </w:rPr>
        <w:t>4.1. Факт ознакомления ребенка (его законных представителей) с лицензией на осуществление образовательной деятельности, свидетельством о государственной аккредитации Школы, ее уставом, с образовательными программами, с правилами Внутреннего распорядка учащихся и иными локальными нормативными актами, регламентирующими организацию и осуществление образовательной деятельности фиксируется в заявлении о приеме и заверяется их личной подписью.</w:t>
      </w:r>
    </w:p>
    <w:p>
      <w:pPr>
        <w:pStyle w:val="NormalWeb1"/>
        <w:spacing w:before="0" w:after="187"/>
        <w:jc w:val="both"/>
        <w:rPr>
          <w:color w:val="000000"/>
        </w:rPr>
      </w:pPr>
      <w:r>
        <w:rPr>
          <w:color w:val="000000"/>
        </w:rPr>
        <w:t>Подписью родителей (законных представителей) ребенка фиксируется также согласие на обработку их персональных данных и персональных данных ребенка в порядке, установленном законодательством Российской Федерации</w:t>
      </w:r>
    </w:p>
    <w:p>
      <w:pPr>
        <w:pStyle w:val="NormalWeb1"/>
        <w:spacing w:before="0" w:after="187"/>
        <w:jc w:val="both"/>
        <w:rPr>
          <w:color w:val="000000"/>
        </w:rPr>
      </w:pPr>
      <w:r>
        <w:rPr>
          <w:color w:val="000000"/>
        </w:rPr>
        <w:t>4.2. Документы, представленные ребенком (его законными представителями), регистрируются в журнале приема заявлений. После регистрации заявления ребенку (его законным представителям) выдается расписка в получении документов, содержащая информацию о регистрационном номере заявления о приеме ребенка в Школу, о перечне представленных документов. Расписка заверяется подписью должностного лица Школы, ответственного за прием документов, и печатью Школы.</w:t>
      </w:r>
    </w:p>
    <w:p>
      <w:pPr>
        <w:pStyle w:val="NormalWeb1"/>
        <w:spacing w:before="0" w:after="187"/>
        <w:jc w:val="both"/>
        <w:rPr>
          <w:color w:val="000000"/>
        </w:rPr>
      </w:pPr>
      <w:r>
        <w:rPr>
          <w:color w:val="000000"/>
        </w:rPr>
        <w:t>4.3. Зачисление в Школу оформляется ее распорядительным актом в течение 7 рабочих дней после приема документов.</w:t>
      </w:r>
    </w:p>
    <w:p>
      <w:pPr>
        <w:pStyle w:val="NormalWeb1"/>
        <w:spacing w:before="0" w:after="187"/>
        <w:jc w:val="both"/>
        <w:rPr>
          <w:color w:val="000000"/>
        </w:rPr>
      </w:pPr>
      <w:r>
        <w:rPr>
          <w:color w:val="000000"/>
        </w:rPr>
        <w:t>4.4. Распорядительные акты Школы о приеме детей на обучение размещаются на информационном стенде Школы в день их издания.</w:t>
      </w:r>
    </w:p>
    <w:p>
      <w:pPr>
        <w:pStyle w:val="NormalWeb1"/>
        <w:spacing w:before="0" w:after="187"/>
        <w:jc w:val="both"/>
        <w:rPr>
          <w:color w:val="000000"/>
        </w:rPr>
      </w:pPr>
      <w:r>
        <w:rPr>
          <w:color w:val="000000"/>
        </w:rPr>
        <w:t>4.5. На каждого ребенка, зачисленного в Школу, заводится личное дело, в котором хранятся все сданные документы, а также копии предъявляемых при приеме документов.</w:t>
      </w:r>
    </w:p>
    <w:p>
      <w:pPr>
        <w:pStyle w:val="NormalWeb1"/>
        <w:spacing w:before="0" w:after="187"/>
        <w:jc w:val="both"/>
        <w:rPr>
          <w:color w:val="000000"/>
        </w:rPr>
      </w:pPr>
      <w:r>
        <w:rPr>
          <w:b/>
          <w:color w:val="000000"/>
        </w:rPr>
        <w:t>5. Порядок перевода учащихся</w:t>
      </w:r>
    </w:p>
    <w:p>
      <w:pPr>
        <w:pStyle w:val="NormalWeb1"/>
        <w:spacing w:before="0" w:after="187"/>
        <w:jc w:val="both"/>
        <w:rPr>
          <w:color w:val="000000"/>
        </w:rPr>
      </w:pPr>
      <w:r>
        <w:rPr>
          <w:color w:val="000000"/>
        </w:rPr>
        <w:t>5.1. 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
    <w:p>
      <w:pPr>
        <w:pStyle w:val="NormalWeb1"/>
        <w:spacing w:before="0" w:after="187"/>
        <w:jc w:val="both"/>
        <w:rPr>
          <w:color w:val="000000"/>
        </w:rPr>
      </w:pPr>
      <w:r>
        <w:rPr>
          <w:color w:val="000000"/>
        </w:rPr>
        <w:t>5.2.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 прохождение промежуточной аттестации при отсутствии уважительных причин признаются академической задолженностью.</w:t>
      </w:r>
    </w:p>
    <w:p>
      <w:pPr>
        <w:pStyle w:val="NormalWeb1"/>
        <w:spacing w:before="0" w:after="187"/>
        <w:jc w:val="both"/>
        <w:rPr>
          <w:color w:val="000000"/>
        </w:rPr>
      </w:pPr>
      <w:r>
        <w:rPr>
          <w:color w:val="000000"/>
        </w:rPr>
        <w:t>5.3. Обучающиеся обязаны ликвидировать академическую задолженность.</w:t>
      </w:r>
    </w:p>
    <w:p>
      <w:pPr>
        <w:pStyle w:val="NormalWeb1"/>
        <w:spacing w:before="0" w:after="187"/>
        <w:jc w:val="both"/>
        <w:rPr>
          <w:color w:val="000000"/>
        </w:rPr>
      </w:pPr>
      <w:r>
        <w:rPr>
          <w:color w:val="000000"/>
        </w:rPr>
        <w:t>5.4. Образовательные организации,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pPr>
        <w:pStyle w:val="NormalWeb1"/>
        <w:spacing w:before="0" w:after="187"/>
        <w:jc w:val="both"/>
        <w:rPr>
          <w:color w:val="000000"/>
        </w:rPr>
      </w:pPr>
      <w:r>
        <w:rPr>
          <w:color w:val="000000"/>
        </w:rPr>
        <w:t>5.5. 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pPr>
        <w:pStyle w:val="NormalWeb1"/>
        <w:spacing w:before="0" w:after="187"/>
        <w:jc w:val="both"/>
        <w:rPr>
          <w:color w:val="000000"/>
        </w:rPr>
      </w:pPr>
      <w:r>
        <w:rPr>
          <w:color w:val="000000"/>
        </w:rPr>
        <w:t>5.6. Для проведения промежуточной аттестации во второй раз образовательной организацией создается комиссия.</w:t>
      </w:r>
    </w:p>
    <w:p>
      <w:pPr>
        <w:pStyle w:val="NormalWeb1"/>
        <w:spacing w:before="0" w:after="187"/>
        <w:jc w:val="both"/>
        <w:rPr>
          <w:color w:val="000000"/>
        </w:rPr>
      </w:pPr>
      <w:r>
        <w:rPr>
          <w:color w:val="000000"/>
        </w:rPr>
        <w:t>5.7. Не допускается взимание платы с обучающихся за прохождение промежуточной аттестации.</w:t>
      </w:r>
    </w:p>
    <w:p>
      <w:pPr>
        <w:pStyle w:val="NormalWeb1"/>
        <w:spacing w:before="0" w:after="187"/>
        <w:jc w:val="both"/>
        <w:rPr>
          <w:color w:val="000000"/>
        </w:rPr>
      </w:pPr>
      <w:r>
        <w:rPr>
          <w:color w:val="000000"/>
        </w:rPr>
        <w:t>5.8. 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
    <w:p>
      <w:pPr>
        <w:pStyle w:val="NormalWeb1"/>
        <w:spacing w:before="0" w:after="187"/>
        <w:jc w:val="both"/>
        <w:rPr>
          <w:color w:val="000000"/>
        </w:rPr>
      </w:pPr>
      <w:r>
        <w:rPr>
          <w:color w:val="000000"/>
        </w:rPr>
        <w:t>5.9. 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pPr>
        <w:pStyle w:val="NormalWeb1"/>
        <w:spacing w:before="0" w:after="187"/>
        <w:jc w:val="both"/>
        <w:rPr>
          <w:color w:val="000000"/>
        </w:rPr>
      </w:pPr>
      <w:r>
        <w:rPr>
          <w:color w:val="000000"/>
        </w:rPr>
        <w:t>5.10.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pPr>
        <w:pStyle w:val="NormalWeb1"/>
        <w:spacing w:before="0" w:after="187"/>
        <w:jc w:val="both"/>
        <w:rPr>
          <w:color w:val="000000"/>
        </w:rPr>
      </w:pPr>
      <w:r>
        <w:rPr>
          <w:color w:val="000000"/>
        </w:rPr>
        <w:t>5.11.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pPr>
        <w:pStyle w:val="NormalWeb1"/>
        <w:spacing w:before="0" w:after="187"/>
        <w:jc w:val="both"/>
        <w:rPr>
          <w:color w:val="000000"/>
        </w:rPr>
      </w:pPr>
      <w:r>
        <w:rPr>
          <w:color w:val="000000"/>
        </w:rPr>
        <w:t>6.Порядок и основание перевода учащихся в другое общеобразовательное учреждение</w:t>
      </w:r>
    </w:p>
    <w:p>
      <w:pPr>
        <w:pStyle w:val="NormalWeb1"/>
        <w:spacing w:before="0" w:after="187"/>
        <w:jc w:val="both"/>
        <w:rPr>
          <w:color w:val="000000"/>
        </w:rPr>
      </w:pPr>
      <w:r>
        <w:rPr>
          <w:color w:val="000000"/>
        </w:rPr>
        <w:t>6.1.Перевод учащегося из Школы в другую организацию, осуществляющую образовательную деятельность по образовательным программам соответствующих уровня и направленности (далее − принимающая организация), осуществляется в следующих случаях:</w:t>
      </w:r>
    </w:p>
    <w:p>
      <w:pPr>
        <w:pStyle w:val="NormalWeb1"/>
        <w:spacing w:before="0" w:after="187"/>
        <w:jc w:val="both"/>
        <w:rPr>
          <w:color w:val="000000"/>
        </w:rPr>
      </w:pPr>
      <w:r>
        <w:rPr>
          <w:color w:val="000000"/>
        </w:rPr>
        <w:t>- по инициативе совершеннолетнего учащегося или родителей (законных представителей) несовершеннолетнего учащегося;</w:t>
      </w:r>
    </w:p>
    <w:p>
      <w:pPr>
        <w:pStyle w:val="NormalWeb1"/>
        <w:spacing w:before="0" w:after="187"/>
        <w:jc w:val="both"/>
        <w:rPr>
          <w:color w:val="000000"/>
        </w:rPr>
      </w:pPr>
      <w:r>
        <w:rPr>
          <w:color w:val="000000"/>
        </w:rPr>
        <w:t>- в случае прекращения деятельности Школы, аннулирования лицензии на осуществление образовательной деятельности (далее − лицензия),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w:t>
      </w:r>
    </w:p>
    <w:p>
      <w:pPr>
        <w:pStyle w:val="NormalWeb1"/>
        <w:spacing w:before="0" w:after="187"/>
        <w:jc w:val="both"/>
        <w:rPr>
          <w:color w:val="000000"/>
        </w:rPr>
      </w:pPr>
      <w:r>
        <w:rPr>
          <w:color w:val="000000"/>
        </w:rPr>
        <w:t>-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w:t>
      </w:r>
    </w:p>
    <w:p>
      <w:pPr>
        <w:pStyle w:val="NormalWeb1"/>
        <w:spacing w:before="0" w:after="187"/>
        <w:jc w:val="both"/>
        <w:rPr>
          <w:color w:val="000000"/>
        </w:rPr>
      </w:pPr>
      <w:r>
        <w:rPr>
          <w:color w:val="000000"/>
        </w:rPr>
        <w:t>6.2.Школа обеспечивает перевод совершеннолетних учащихся с их письменного согласия, а также несовершеннолетних учащихся с письменного согласия их родителей (законных представителей).</w:t>
      </w:r>
    </w:p>
    <w:p>
      <w:pPr>
        <w:pStyle w:val="NormalWeb1"/>
        <w:spacing w:before="0" w:after="187"/>
        <w:jc w:val="both"/>
        <w:rPr>
          <w:color w:val="000000"/>
        </w:rPr>
      </w:pPr>
      <w:r>
        <w:rPr>
          <w:color w:val="000000"/>
        </w:rPr>
        <w:t>6.3. Перевод учащихся не зависит от периода (времени) учебного года.</w:t>
      </w:r>
    </w:p>
    <w:p>
      <w:pPr>
        <w:pStyle w:val="NormalWeb1"/>
        <w:spacing w:before="0" w:after="187"/>
        <w:jc w:val="both"/>
        <w:rPr>
          <w:color w:val="000000"/>
        </w:rPr>
      </w:pPr>
      <w:r>
        <w:rPr>
          <w:b/>
          <w:color w:val="000000"/>
        </w:rPr>
        <w:t>7.Перевод совершеннолетнего учащегося по его инициативе или несовершеннолетнего учащегося по инициативе его родителей (законных представителей)</w:t>
      </w:r>
    </w:p>
    <w:p>
      <w:pPr>
        <w:pStyle w:val="NormalWeb1"/>
        <w:spacing w:before="0" w:after="187"/>
        <w:jc w:val="both"/>
        <w:rPr>
          <w:color w:val="000000"/>
        </w:rPr>
      </w:pPr>
      <w:r>
        <w:rPr>
          <w:color w:val="000000"/>
        </w:rPr>
        <w:t>7.1.В случае перевода совершеннолетнего учащегося по его инициативе или несовершеннолетнего учащегося по инициативе его родителей (законных представителей) совершеннолетний учащийся или родители (законные представители) несовершеннолетнего учащегося:</w:t>
      </w:r>
    </w:p>
    <w:p>
      <w:pPr>
        <w:pStyle w:val="NormalWeb1"/>
        <w:spacing w:before="0" w:after="187"/>
        <w:jc w:val="both"/>
        <w:rPr>
          <w:color w:val="000000"/>
        </w:rPr>
      </w:pPr>
      <w:r>
        <w:rPr>
          <w:color w:val="000000"/>
        </w:rPr>
        <w:t>- осуществляют выбор принимающей организации;</w:t>
      </w:r>
    </w:p>
    <w:p>
      <w:pPr>
        <w:pStyle w:val="NormalWeb1"/>
        <w:spacing w:before="0" w:after="187"/>
        <w:jc w:val="both"/>
        <w:rPr>
          <w:color w:val="000000"/>
        </w:rPr>
      </w:pPr>
      <w:r>
        <w:rPr>
          <w:color w:val="000000"/>
        </w:rPr>
        <w:t>- обращаются в выбранную организацию с запросом о наличии свободных мест, в том числе с использованием сети Интернет;</w:t>
      </w:r>
    </w:p>
    <w:p>
      <w:pPr>
        <w:pStyle w:val="NormalWeb1"/>
        <w:spacing w:before="0" w:after="187"/>
        <w:jc w:val="both"/>
        <w:rPr>
          <w:color w:val="000000"/>
        </w:rPr>
      </w:pPr>
      <w:r>
        <w:rPr>
          <w:color w:val="000000"/>
        </w:rPr>
        <w:t>- при отсутствии свободных мест в выбранной организации обращаются в органы местного самоуправления в сфере образования соответствующего муниципального района, для определения принимающей организации из числа муниципальных образовательных организаций;</w:t>
      </w:r>
    </w:p>
    <w:p>
      <w:pPr>
        <w:pStyle w:val="NormalWeb1"/>
        <w:spacing w:before="0" w:after="187"/>
        <w:jc w:val="both"/>
        <w:rPr>
          <w:color w:val="000000"/>
        </w:rPr>
      </w:pPr>
      <w:r>
        <w:rPr>
          <w:color w:val="000000"/>
        </w:rPr>
        <w:t>- обращаются в Школу с заявлением об отчислении учащегося в связи с переводом в принимающую организацию. Заявление о переводе может быть направлено в форме электронного документа с использованием сети Интернет.</w:t>
      </w:r>
    </w:p>
    <w:p>
      <w:pPr>
        <w:pStyle w:val="NormalWeb1"/>
        <w:spacing w:before="0" w:after="187"/>
        <w:jc w:val="both"/>
        <w:rPr>
          <w:color w:val="000000"/>
        </w:rPr>
      </w:pPr>
      <w:r>
        <w:rPr>
          <w:color w:val="000000"/>
        </w:rPr>
        <w:t>7.2. В заявлении совершеннолетнего учащегося или родителей (законных представителей) несовершеннолетнего учащегося об отчислении в порядке перевода в принимающую организацию указываются:</w:t>
      </w:r>
    </w:p>
    <w:p>
      <w:pPr>
        <w:pStyle w:val="NormalWeb1"/>
        <w:spacing w:before="0" w:after="187"/>
        <w:jc w:val="both"/>
        <w:rPr>
          <w:color w:val="000000"/>
        </w:rPr>
      </w:pPr>
      <w:r>
        <w:rPr>
          <w:color w:val="000000"/>
        </w:rPr>
        <w:t>фамилия, имя, отчество (при наличии) учащегося;</w:t>
      </w:r>
    </w:p>
    <w:p>
      <w:pPr>
        <w:pStyle w:val="NormalWeb1"/>
        <w:spacing w:before="0" w:after="187"/>
        <w:jc w:val="both"/>
        <w:rPr>
          <w:color w:val="000000"/>
        </w:rPr>
      </w:pPr>
      <w:r>
        <w:rPr>
          <w:color w:val="000000"/>
        </w:rPr>
        <w:t>дата рождения;</w:t>
      </w:r>
    </w:p>
    <w:p>
      <w:pPr>
        <w:pStyle w:val="NormalWeb1"/>
        <w:spacing w:before="0" w:after="187"/>
        <w:jc w:val="both"/>
        <w:rPr>
          <w:color w:val="000000"/>
        </w:rPr>
      </w:pPr>
      <w:r>
        <w:rPr>
          <w:color w:val="000000"/>
        </w:rPr>
        <w:t>класс;</w:t>
      </w:r>
    </w:p>
    <w:p>
      <w:pPr>
        <w:pStyle w:val="NormalWeb1"/>
        <w:spacing w:before="0" w:after="187"/>
        <w:jc w:val="both"/>
        <w:rPr>
          <w:color w:val="000000"/>
        </w:rPr>
      </w:pPr>
      <w:r>
        <w:rPr>
          <w:color w:val="000000"/>
        </w:rPr>
        <w:t>наименование принимающей организации.</w:t>
      </w:r>
    </w:p>
    <w:p>
      <w:pPr>
        <w:pStyle w:val="NormalWeb1"/>
        <w:spacing w:before="0" w:after="187"/>
        <w:jc w:val="both"/>
        <w:rPr>
          <w:color w:val="000000"/>
        </w:rPr>
      </w:pPr>
      <w:r>
        <w:rPr>
          <w:color w:val="000000"/>
        </w:rPr>
        <w:t>В случае переезда в другую местность указывается только населенный пункт, субъект Российской Федерации.</w:t>
      </w:r>
    </w:p>
    <w:p>
      <w:pPr>
        <w:pStyle w:val="NormalWeb1"/>
        <w:spacing w:before="0" w:after="187"/>
        <w:jc w:val="both"/>
        <w:rPr>
          <w:color w:val="000000"/>
        </w:rPr>
      </w:pPr>
      <w:r>
        <w:rPr>
          <w:color w:val="000000"/>
        </w:rPr>
        <w:t>7.3.На основании заявления совершеннолетнего учащегося или родителей (законных представителей) несовершеннолетнего учащегося об отчислении в порядке перевода директор в трехдневный срок издает приказ об отчислении учащегося в порядке перевода с указанием принимающей организации.</w:t>
      </w:r>
    </w:p>
    <w:p>
      <w:pPr>
        <w:pStyle w:val="NormalWeb1"/>
        <w:spacing w:before="0" w:after="187"/>
        <w:jc w:val="both"/>
        <w:rPr>
          <w:color w:val="000000"/>
        </w:rPr>
      </w:pPr>
      <w:r>
        <w:rPr>
          <w:color w:val="000000"/>
        </w:rPr>
        <w:t>7.4.Школа выдает совершеннолетнему учащемуся или родителям (законным представителям) несовершеннолетнего учащегося следующие документы:</w:t>
      </w:r>
    </w:p>
    <w:p>
      <w:pPr>
        <w:pStyle w:val="NormalWeb1"/>
        <w:spacing w:before="0" w:after="187"/>
        <w:jc w:val="both"/>
        <w:rPr>
          <w:color w:val="000000"/>
        </w:rPr>
      </w:pPr>
      <w:r>
        <w:rPr>
          <w:color w:val="000000"/>
        </w:rPr>
        <w:t>- личное дело учащегося;</w:t>
      </w:r>
    </w:p>
    <w:p>
      <w:pPr>
        <w:pStyle w:val="NormalWeb1"/>
        <w:spacing w:before="0" w:after="187"/>
        <w:jc w:val="both"/>
        <w:rPr>
          <w:color w:val="000000"/>
        </w:rPr>
      </w:pPr>
      <w:r>
        <w:rPr>
          <w:color w:val="000000"/>
        </w:rPr>
        <w:t>- документы, содержащие информацию об успеваемости учащегося в текущем учебном году (выписка из классного журнала с текущими отметками и результатами промежуточной аттестации), заверенные печатью Школы и подписью директора (уполномоченного им лица).</w:t>
      </w:r>
    </w:p>
    <w:p>
      <w:pPr>
        <w:pStyle w:val="NormalWeb1"/>
        <w:spacing w:before="0" w:after="187"/>
        <w:jc w:val="both"/>
        <w:rPr>
          <w:color w:val="000000"/>
        </w:rPr>
      </w:pPr>
      <w:r>
        <w:rPr>
          <w:color w:val="000000"/>
        </w:rPr>
        <w:t>7.5.Указанные в 7.3. настоящего Положения документы представляются совершеннолетним учащимся или родителями (законными представителями) несовершеннолетнего учащегося в принимающую организацию вместе с заявлением о зачислении учащегося в указанную организацию в порядке перевода из Школы и предъявлением оригинала документа, удостоверяющего личность совершеннолетнего учащегося или родителя (законного представителя) несовершеннолетнего учащегося.</w:t>
      </w:r>
    </w:p>
    <w:p>
      <w:pPr>
        <w:pStyle w:val="NormalWeb1"/>
        <w:spacing w:before="0" w:after="187"/>
        <w:jc w:val="both"/>
        <w:rPr>
          <w:color w:val="000000"/>
        </w:rPr>
      </w:pPr>
      <w:r>
        <w:rPr>
          <w:color w:val="000000"/>
        </w:rPr>
        <w:t>7.6.Зачисление учащегося в принимающую организацию в порядке перевода оформляется директором принимающей организации (уполномоченного им лица) в течение трех рабочих дней после приема заявления и документов, указанных в пункте 7.3. настоящего Положения, с указанием даты зачисления и класса.</w:t>
      </w:r>
    </w:p>
    <w:p>
      <w:pPr>
        <w:pStyle w:val="NormalWeb1"/>
        <w:spacing w:before="0" w:after="187"/>
        <w:jc w:val="both"/>
        <w:rPr>
          <w:color w:val="000000"/>
        </w:rPr>
      </w:pPr>
      <w:r>
        <w:rPr>
          <w:color w:val="000000"/>
        </w:rPr>
        <w:t>7.7.Принимающая организация при зачислении учащегося, отчисленного из Школы, в течение двух рабочих дней с даты издания распорядительного акта о зачислении учащегося в порядке перевода письменно уведомляет Школу о номере и дате распорядительного акта о зачислении учащегося в принимающую организацию.</w:t>
      </w:r>
    </w:p>
    <w:p>
      <w:pPr>
        <w:pStyle w:val="NormalWeb1"/>
        <w:spacing w:before="0" w:after="187"/>
        <w:jc w:val="both"/>
        <w:rPr>
          <w:color w:val="000000"/>
        </w:rPr>
      </w:pPr>
      <w:r>
        <w:rPr>
          <w:b/>
          <w:color w:val="000000"/>
        </w:rPr>
        <w:t>8.Перевод учащегося в случае прекращения деятельности Школы, аннулирования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w:t>
      </w:r>
    </w:p>
    <w:p>
      <w:pPr>
        <w:pStyle w:val="NormalWeb1"/>
        <w:spacing w:before="0" w:after="187"/>
        <w:jc w:val="both"/>
        <w:rPr>
          <w:color w:val="000000"/>
        </w:rPr>
      </w:pPr>
      <w:r>
        <w:rPr>
          <w:color w:val="000000"/>
        </w:rPr>
        <w:t>8.1.При принятии решения о прекращении деятельности Школы в соответствующем распорядительном акте Учредителя указывается принимающая организация (перечень принимающих организаций), в которую будут переводиться учащиеся, предоставившие необходимые письменные согласия на перевод в соответствии с пунктом 6.2. настоящего Положения.</w:t>
      </w:r>
    </w:p>
    <w:p>
      <w:pPr>
        <w:pStyle w:val="NormalWeb1"/>
        <w:spacing w:before="0" w:after="187"/>
        <w:jc w:val="both"/>
        <w:rPr>
          <w:color w:val="000000"/>
        </w:rPr>
      </w:pPr>
      <w:r>
        <w:rPr>
          <w:color w:val="000000"/>
        </w:rPr>
        <w:t>8.2.О предстоящем переводе Школы в случае прекращения своей деятельности будет обязана уведомить совершеннолетних учащихся, родителей (законных представителей) несовершеннолетних учащихся в письменной форме в течение пяти рабочих дней с момента издания распорядительного акта учредителя о прекращении деятельности Школы, а также разместит указанное уведомление на своем официальном сайте в сети Интернет. Данное уведомление будет содержать сроки предоставления письменных согласий лиц, указанных в 6.2. настоящего Положения, на перевод в принимающую организацию.</w:t>
      </w:r>
    </w:p>
    <w:p>
      <w:pPr>
        <w:pStyle w:val="NormalWeb1"/>
        <w:spacing w:before="0" w:after="187"/>
        <w:jc w:val="both"/>
        <w:rPr>
          <w:color w:val="000000"/>
        </w:rPr>
      </w:pPr>
      <w:r>
        <w:rPr>
          <w:color w:val="000000"/>
        </w:rPr>
        <w:t>8.3.О причине, влекущей за собой необходимость перевода учащихся, Школа будет обязана уведомить Учредителя, совершеннолетних учащихся или родителей (законных представителей) несовершеннолетних учащихся в письменной форме, а также будет обязана разместить указанное уведомление на своем официальном сайте в сети Интернет:</w:t>
      </w:r>
    </w:p>
    <w:p>
      <w:pPr>
        <w:pStyle w:val="NormalWeb1"/>
        <w:spacing w:before="0" w:after="187"/>
        <w:jc w:val="both"/>
        <w:rPr>
          <w:color w:val="000000"/>
        </w:rPr>
      </w:pPr>
      <w:r>
        <w:rPr>
          <w:color w:val="000000"/>
        </w:rPr>
        <w:t>- в случае аннулирования лицензии на осуществление образовательной деятельности − в течение пяти рабочих дней с момента вступления в законную силу решения суда;</w:t>
      </w:r>
    </w:p>
    <w:p>
      <w:pPr>
        <w:pStyle w:val="NormalWeb1"/>
        <w:spacing w:before="0" w:after="187"/>
        <w:jc w:val="both"/>
        <w:rPr>
          <w:color w:val="000000"/>
        </w:rPr>
      </w:pPr>
      <w:r>
        <w:rPr>
          <w:color w:val="000000"/>
        </w:rPr>
        <w:t>- в случае приостановления действия лицензии − в течение пяти рабочих дней с момента внесения в Реестр лицензий сведений, содержащих информацию о принятом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решении о приостановлении действия лицензии на осуществление образовательной деятельности;</w:t>
      </w:r>
    </w:p>
    <w:p>
      <w:pPr>
        <w:pStyle w:val="NormalWeb1"/>
        <w:spacing w:before="0" w:after="187"/>
        <w:jc w:val="both"/>
        <w:rPr>
          <w:color w:val="000000"/>
        </w:rPr>
      </w:pPr>
      <w:r>
        <w:rPr>
          <w:color w:val="000000"/>
        </w:rPr>
        <w:t>- в случае лишения Школы государственной аккредитации полностью или по соответствующей образовательной программе, а также приостановления действия государственной аккредитации полностью или в отношении отдельных уровней образования − в течение пяти рабочих дней с момента внесения в Реестр организаций, осуществляющих образовательную деятельность по имеющим государственную аккредитацию образовательным программам, сведений, содержащих информацию о принятом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(далее − аккредитационные органы), решении о лишении Школы государственной аккредитации полностью или по соответствующей образовательной программе или о приостановлении действия государственной аккредитации полностью или в отношении отдельных уровней образования;</w:t>
      </w:r>
    </w:p>
    <w:p>
      <w:pPr>
        <w:pStyle w:val="NormalWeb1"/>
        <w:spacing w:before="0" w:after="187"/>
        <w:jc w:val="both"/>
        <w:rPr>
          <w:color w:val="000000"/>
        </w:rPr>
      </w:pPr>
      <w:r>
        <w:rPr>
          <w:color w:val="000000"/>
        </w:rPr>
        <w:t>- в случае если до истечения срока действия государственной аккредитации по соответствующей образовательной программе осталось менее 105 дней и у Школы будет отсутствовать полученное от аккредитационного органа уведомление о приеме заявления о государственной аккредитации по соответствующей образовательной программе и прилагаемых к нему документов к рассмотрению по существу − в течение пяти рабочих дней с момента наступления указанного случая;</w:t>
      </w:r>
    </w:p>
    <w:p>
      <w:pPr>
        <w:pStyle w:val="NormalWeb1"/>
        <w:spacing w:before="0" w:after="187"/>
        <w:jc w:val="both"/>
        <w:rPr>
          <w:color w:val="000000"/>
        </w:rPr>
      </w:pPr>
      <w:r>
        <w:rPr>
          <w:color w:val="000000"/>
        </w:rPr>
        <w:t>- в случае отказа аккредитационного органа Организации в государственной аккредитации по соответствующей образовательной программе, если срок действия государственной аккредитации по соответствующей образовательной программе истек, − в течение пяти рабочих дней с момента внесения в Реестр организаций, осуществляющих образовательную деятельность по имеющим государственную аккредитацию образовательным программам, сведений, содержащих информацию об издании акта аккредитационного органа об отказе Школы в государственной аккредитации по соответствующей образовательной программе.</w:t>
      </w:r>
    </w:p>
    <w:p>
      <w:pPr>
        <w:pStyle w:val="NormalWeb1"/>
        <w:spacing w:before="0" w:after="187"/>
        <w:jc w:val="both"/>
        <w:rPr>
          <w:color w:val="000000"/>
        </w:rPr>
      </w:pPr>
      <w:r>
        <w:rPr>
          <w:color w:val="000000"/>
        </w:rPr>
        <w:t>8.4.Школа будет обязана предоставить Учредителю информацию о списочном составе учащихся с указанием осваиваемых ими образовательных программ для осуществления им выбора принимающих организаций с использованием сведений, содержащихся в Реестре организаций, осуществляющих образовательную деятельность по имеющим государственную аккредитацию образовательным программам.</w:t>
      </w:r>
    </w:p>
    <w:p>
      <w:pPr>
        <w:pStyle w:val="NormalWeb1"/>
        <w:spacing w:before="0" w:after="187"/>
        <w:jc w:val="both"/>
        <w:rPr>
          <w:color w:val="000000"/>
        </w:rPr>
      </w:pPr>
      <w:r>
        <w:rPr>
          <w:color w:val="000000"/>
        </w:rPr>
        <w:t>8.5.Школа будет обязана довести до сведения учащихся и их родителей (законных представителей) полученную от Учредителя информацию об организациях, реализующих соответствующие образовательные программы, которые дали согласие на перевод учащихся из Школы, а также о сроках предоставления письменных согласий лиц, указанных в пункте 6.2. настоящего Положения, на перевод в принимающую организацию. Указанная информация будет доведена в течение десяти рабочих дней с момента ее получения и будет включать в себя: наименование принимающей организации (принимающих организаций), перечень образовательных программ, реализуемых организацией, количество свободных мест.</w:t>
      </w:r>
    </w:p>
    <w:p>
      <w:pPr>
        <w:pStyle w:val="NormalWeb1"/>
        <w:spacing w:before="0" w:after="187"/>
        <w:jc w:val="both"/>
        <w:rPr>
          <w:color w:val="000000"/>
        </w:rPr>
      </w:pPr>
      <w:r>
        <w:rPr>
          <w:color w:val="000000"/>
        </w:rPr>
        <w:t>8.6.После получения соответствующих письменных согласий лиц, указанных в 6.2. настоящего Положения, директор будет обязан издать приказ об отчислении учащихся в порядке перевода в принимающую организацию с указанием основания такого перевода (прекращение деятельности организации, аннулирование лицензии, лишение организации государственной аккредитации по соответствующей образовательной программе, истечение срока действия государственной аккредитации по соответствующей образовательной программе).</w:t>
      </w:r>
    </w:p>
    <w:p>
      <w:pPr>
        <w:pStyle w:val="NormalWeb1"/>
        <w:spacing w:before="0" w:after="187"/>
        <w:jc w:val="both"/>
        <w:rPr>
          <w:color w:val="000000"/>
        </w:rPr>
      </w:pPr>
      <w:r>
        <w:rPr>
          <w:color w:val="000000"/>
        </w:rPr>
        <w:t>8.7.В случае отказа от перевода в предлагаемую принимающую организацию совершеннолетний учащийся или родители (законные представители) несовершеннолетнего учащегося указывают об этом в письменном заявлении.</w:t>
      </w:r>
    </w:p>
    <w:p>
      <w:pPr>
        <w:pStyle w:val="NormalWeb1"/>
        <w:spacing w:before="0" w:after="187"/>
        <w:jc w:val="both"/>
        <w:rPr>
          <w:color w:val="000000"/>
        </w:rPr>
      </w:pPr>
      <w:r>
        <w:rPr>
          <w:color w:val="000000"/>
        </w:rPr>
        <w:t>8.8.Школа будет обязана передать в принимающую организацию списочный состав учащихся, копии учебных планов, соответствующие письменные согласия лиц, указанных в 6.2. настоящего Положения, личные дела учащихся.</w:t>
      </w:r>
    </w:p>
    <w:p>
      <w:pPr>
        <w:pStyle w:val="NormalWeb1"/>
        <w:spacing w:before="0" w:after="187"/>
        <w:jc w:val="both"/>
        <w:rPr>
          <w:color w:val="000000"/>
        </w:rPr>
      </w:pPr>
      <w:r>
        <w:rPr>
          <w:color w:val="000000"/>
        </w:rPr>
        <w:t>8.9.На основании представленных документов принимающая организация издает распорядительный акт о зачислении учащихся в принимающую организацию в порядке перевода в связи с прекращением деятельности Школы, аннулированием лицензии, приостановлением действия лицензии, лишением исходной организации государственной аккредитации по соответствующей образовательной программе, приостановлением действия государственной аккредитации полностью или в отношении отдельных уровней образования, истечением срока действия государственной аккредитации по соответствующей образовательной программе.</w:t>
      </w:r>
    </w:p>
    <w:p>
      <w:pPr>
        <w:pStyle w:val="NormalWeb1"/>
        <w:spacing w:before="0" w:after="187"/>
        <w:jc w:val="both"/>
        <w:rPr>
          <w:color w:val="000000"/>
        </w:rPr>
      </w:pPr>
      <w:r>
        <w:rPr>
          <w:color w:val="000000"/>
        </w:rPr>
        <w:t>8.10.В распорядительном акте о зачислении делается запись о зачислении учащегося в порядке перевода с указанием Школы, в которой он обучался до перевода, класса, формы обучения.</w:t>
      </w:r>
    </w:p>
    <w:p>
      <w:pPr>
        <w:pStyle w:val="NormalWeb1"/>
        <w:spacing w:before="0" w:after="187"/>
        <w:jc w:val="both"/>
        <w:rPr>
          <w:color w:val="000000"/>
        </w:rPr>
      </w:pPr>
      <w:r>
        <w:rPr>
          <w:color w:val="000000"/>
        </w:rPr>
        <w:t>8.11. В принимающей организации на основании переданных личных дел на учащихся формируются новые личные дела, включающие в том числе выписку из распорядительного акта о зачислении в порядке перевода, соответствующие письменные согласия лиц, указанных в 6.2. настоящего Положения.</w:t>
      </w:r>
    </w:p>
    <w:p>
      <w:pPr>
        <w:pStyle w:val="NormalWeb1"/>
        <w:spacing w:before="0" w:after="187"/>
        <w:jc w:val="both"/>
        <w:rPr>
          <w:color w:val="000000"/>
        </w:rPr>
      </w:pPr>
      <w:r>
        <w:rPr>
          <w:b/>
          <w:color w:val="000000"/>
        </w:rPr>
        <w:t>9.Порядок и основание отчисления учащихся</w:t>
      </w:r>
    </w:p>
    <w:p>
      <w:pPr>
        <w:pStyle w:val="NormalWeb1"/>
        <w:spacing w:before="0" w:after="187"/>
        <w:jc w:val="both"/>
        <w:rPr>
          <w:color w:val="000000"/>
        </w:rPr>
      </w:pPr>
      <w:r>
        <w:rPr>
          <w:color w:val="000000"/>
        </w:rPr>
        <w:t>9.1.Образовательные отношения прекращаются в связи с отчислением учащегося из Школы:</w:t>
      </w:r>
    </w:p>
    <w:p>
      <w:pPr>
        <w:pStyle w:val="NormalWeb1"/>
        <w:spacing w:before="0" w:after="187"/>
        <w:jc w:val="both"/>
        <w:rPr>
          <w:color w:val="000000"/>
        </w:rPr>
      </w:pPr>
      <w:r>
        <w:rPr>
          <w:color w:val="000000"/>
        </w:rPr>
        <w:t>1) в связи с получением образования (завершением обучения);</w:t>
      </w:r>
    </w:p>
    <w:p>
      <w:pPr>
        <w:pStyle w:val="NormalWeb1"/>
        <w:spacing w:before="0" w:after="187"/>
        <w:jc w:val="both"/>
        <w:rPr>
          <w:color w:val="000000"/>
        </w:rPr>
      </w:pPr>
      <w:r>
        <w:rPr>
          <w:color w:val="000000"/>
        </w:rPr>
        <w:t>2) досрочно по основаниям, установленным п.10.2 настоящего Положения.</w:t>
      </w:r>
    </w:p>
    <w:p>
      <w:pPr>
        <w:pStyle w:val="NormalWeb1"/>
        <w:spacing w:before="0" w:after="187"/>
        <w:jc w:val="both"/>
        <w:rPr>
          <w:color w:val="000000"/>
        </w:rPr>
      </w:pPr>
      <w:r>
        <w:rPr>
          <w:color w:val="000000"/>
        </w:rPr>
        <w:t>9.2.Образовательные отношения могут быть прекращены досрочно в следующих случаях:</w:t>
      </w:r>
    </w:p>
    <w:p>
      <w:pPr>
        <w:pStyle w:val="NormalWeb1"/>
        <w:spacing w:before="0" w:after="187"/>
        <w:jc w:val="both"/>
        <w:rPr>
          <w:color w:val="000000"/>
        </w:rPr>
      </w:pPr>
      <w:r>
        <w:rPr>
          <w:color w:val="000000"/>
        </w:rPr>
        <w:t>- по инициативе совершеннолетнего учащегося или родителей (законных представителей) несовершеннолетнего учащегося, в том числе в случае перевода учащегося для продолжения освоения образовательной программы в другую организацию, осуществляющую образовательную деятельность;</w:t>
      </w:r>
    </w:p>
    <w:p>
      <w:pPr>
        <w:pStyle w:val="NormalWeb1"/>
        <w:spacing w:before="0" w:after="187"/>
        <w:jc w:val="both"/>
        <w:rPr>
          <w:color w:val="000000"/>
        </w:rPr>
      </w:pPr>
      <w:r>
        <w:rPr>
          <w:color w:val="000000"/>
        </w:rPr>
        <w:t>- по инициативе Школы в случае применения к учащемуся, достигшему возраста пятнадцати лет, отчисления как меры дисциплинарного взыскания, в случае невыполнения учащимся обязанностей по добросовестному освоению образовательной программы соответствующего уровня и выполнению учебного плана, а также в случае установления нарушения порядка приема в Школу, повлекшего по вине учащегося его незаконное зачисление в Школу;</w:t>
      </w:r>
    </w:p>
    <w:p>
      <w:pPr>
        <w:pStyle w:val="NormalWeb1"/>
        <w:spacing w:before="0" w:after="187"/>
        <w:jc w:val="both"/>
        <w:rPr>
          <w:color w:val="000000"/>
        </w:rPr>
      </w:pPr>
      <w:r>
        <w:rPr>
          <w:color w:val="000000"/>
        </w:rPr>
        <w:t>- по обстоятельствам, не зависящим от воли совершеннолетнего учащегося или родителей (законных представителей) несовершеннолетнего учащегося и Школы, в том числе в случае ликвидации Школы.</w:t>
      </w:r>
    </w:p>
    <w:p>
      <w:pPr>
        <w:pStyle w:val="NormalWeb1"/>
        <w:spacing w:before="0" w:after="187"/>
        <w:jc w:val="both"/>
        <w:rPr>
          <w:color w:val="000000"/>
        </w:rPr>
      </w:pPr>
      <w:r>
        <w:rPr>
          <w:color w:val="000000"/>
        </w:rPr>
        <w:t>9.3.Досрочное прекращение образовательных отношений по инициативе совершеннолетнего учащегося или родителей (законных представителей) несовершеннолетнего учащегося не влечет за собой возникновение каких-либо дополнительных, в том числе материальных, обязательств указанного учащегося перед Школы.</w:t>
      </w:r>
    </w:p>
    <w:p>
      <w:pPr>
        <w:pStyle w:val="NormalWeb1"/>
        <w:spacing w:before="0" w:after="187"/>
        <w:jc w:val="both"/>
        <w:rPr>
          <w:color w:val="000000"/>
        </w:rPr>
      </w:pPr>
      <w:r>
        <w:rPr>
          <w:color w:val="000000"/>
        </w:rPr>
        <w:t>9.4.Основанием для прекращения образовательных отношений является приказ директора об отчислении учащегося из Школы. Если с совершеннолетним учащимся или родителями (законными представителями) несовершеннолетнего учащегося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приказа директора об отчислении учащегося из Школы. Права и обязанности учащегося, предусмотренные законодательством об образовании и локальными нормативными актами Школы, прекращаются с даты его отчисления из Школы.</w:t>
      </w:r>
    </w:p>
    <w:p>
      <w:pPr>
        <w:pStyle w:val="NormalWeb1"/>
        <w:spacing w:before="0" w:after="187"/>
        <w:jc w:val="both"/>
        <w:rPr>
          <w:color w:val="000000"/>
        </w:rPr>
      </w:pPr>
      <w:r>
        <w:rPr>
          <w:color w:val="000000"/>
        </w:rPr>
        <w:t>9.5. При досрочном прекращении образовательных отношений Школы в трехдневный срок после издания приказа директора об отчислении учащегося выдает лицу, отчисленному из Школы, справку об обучении в соответствии с частью 12 статьи 60 Федерального закона от 29.12.2012 N 273-ФЗ (ред. от 03.07.2016) «Об образовании в Российской Федерации» (с изм. и доп., вступ. в силу с 01.09.2016).</w:t>
      </w:r>
    </w:p>
    <w:p>
      <w:pPr>
        <w:pStyle w:val="NormalWeb1"/>
        <w:spacing w:before="0" w:after="187"/>
        <w:jc w:val="both"/>
        <w:rPr>
          <w:color w:val="000000"/>
        </w:rPr>
      </w:pPr>
      <w:r>
        <w:rPr>
          <w:b/>
          <w:color w:val="000000"/>
        </w:rPr>
        <w:t>10.Регулирование спорных вопросов.</w:t>
      </w:r>
    </w:p>
    <w:p>
      <w:pPr>
        <w:pStyle w:val="NormalWeb1"/>
        <w:spacing w:before="0" w:after="187"/>
        <w:jc w:val="both"/>
        <w:rPr>
          <w:color w:val="000000"/>
        </w:rPr>
      </w:pPr>
      <w:r>
        <w:rPr>
          <w:color w:val="000000"/>
        </w:rPr>
      </w:r>
    </w:p>
    <w:p>
      <w:pPr>
        <w:pStyle w:val="NormalWeb1"/>
        <w:spacing w:before="0" w:after="187"/>
        <w:jc w:val="both"/>
        <w:rPr>
          <w:color w:val="000000"/>
        </w:rPr>
      </w:pPr>
      <w:r>
        <w:rPr>
          <w:color w:val="000000"/>
        </w:rPr>
        <w:t>11.1. В случае возникновения спорных вопросов по приему, переводу, отчислению обучающихся, возникающих между родителями (законными представителями) и администрацией школы, родители (законные представители) вправе обратиться в управление образования либо обжаловать решение в суде.</w:t>
      </w:r>
    </w:p>
    <w:p>
      <w:pPr>
        <w:pStyle w:val="NormalWeb1"/>
        <w:spacing w:before="0" w:after="187"/>
        <w:jc w:val="both"/>
        <w:rPr>
          <w:color w:val="000000"/>
        </w:rPr>
      </w:pPr>
      <w:r>
        <w:rPr>
          <w:color w:val="000000"/>
        </w:rPr>
      </w:r>
    </w:p>
    <w:p>
      <w:pPr>
        <w:pStyle w:val="NormalWeb1"/>
        <w:spacing w:before="0" w:after="187"/>
        <w:jc w:val="both"/>
        <w:rPr>
          <w:color w:val="000000"/>
        </w:rPr>
      </w:pPr>
      <w:r>
        <w:rPr>
          <w:color w:val="000000"/>
        </w:rPr>
        <w:t> </w:t>
      </w:r>
    </w:p>
    <w:p>
      <w:pPr>
        <w:pStyle w:val="NormalWeb1"/>
        <w:spacing w:before="0" w:after="187"/>
        <w:jc w:val="both"/>
        <w:rPr>
          <w:color w:val="000000"/>
        </w:rPr>
      </w:pPr>
      <w:r>
        <w:rPr>
          <w:b/>
          <w:color w:val="000000"/>
        </w:rPr>
        <w:t>11. Заключительные положения</w:t>
      </w:r>
    </w:p>
    <w:p>
      <w:pPr>
        <w:pStyle w:val="NormalWeb1"/>
        <w:spacing w:before="0" w:after="187"/>
        <w:jc w:val="both"/>
        <w:rPr>
          <w:color w:val="000000"/>
        </w:rPr>
      </w:pPr>
      <w:r>
        <w:rPr>
          <w:color w:val="000000"/>
        </w:rPr>
        <w:t>12.1.Настоящее Положение вступают в силу с момента подписания приказа.</w:t>
      </w:r>
    </w:p>
    <w:p>
      <w:pPr>
        <w:pStyle w:val="NormalWeb1"/>
        <w:spacing w:before="0" w:after="187"/>
        <w:jc w:val="both"/>
        <w:rPr>
          <w:color w:val="000000"/>
        </w:rPr>
      </w:pPr>
      <w:r>
        <w:rPr>
          <w:color w:val="000000"/>
        </w:rPr>
        <w:t>12.2.Настоящее Положение размещается для ознакомления на официальном сайте Организации.</w:t>
      </w:r>
    </w:p>
    <w:p>
      <w:pPr>
        <w:pStyle w:val="NormalWeb1"/>
        <w:spacing w:before="0" w:after="187"/>
        <w:jc w:val="both"/>
        <w:rPr>
          <w:color w:val="000000"/>
        </w:rPr>
      </w:pPr>
      <w:r>
        <w:rPr>
          <w:color w:val="000000"/>
        </w:rPr>
        <w:t>Срок действия Положения до внесения изменений.</w:t>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drawing>
          <wp:inline distT="0" distB="0" distL="0" distR="0">
            <wp:extent cx="5940425" cy="8178165"/>
            <wp:effectExtent l="0" t="0" r="0" b="0"/>
            <wp:docPr id="2"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
                    <pic:cNvPicPr>
                      <a:picLocks noChangeAspect="1" noChangeArrowheads="1"/>
                    </pic:cNvPicPr>
                  </pic:nvPicPr>
                  <pic:blipFill>
                    <a:blip r:embed="rId3"/>
                    <a:stretch>
                      <a:fillRect/>
                    </a:stretch>
                  </pic:blipFill>
                  <pic:spPr bwMode="auto">
                    <a:xfrm>
                      <a:off x="0" y="0"/>
                      <a:ext cx="5940425" cy="8178165"/>
                    </a:xfrm>
                    <a:prstGeom prst="rect">
                      <a:avLst/>
                    </a:prstGeom>
                  </pic:spPr>
                </pic:pic>
              </a:graphicData>
            </a:graphic>
          </wp:inline>
        </w:drawing>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widowControl/>
        <w:bidi w:val="0"/>
        <w:spacing w:lineRule="auto" w:line="276" w:before="0" w:after="200"/>
        <w:ind w:left="0" w:right="0" w:hanging="0"/>
        <w:jc w:val="left"/>
        <w:rPr/>
      </w:pPr>
      <w:r>
        <w:rPr/>
      </w:r>
    </w:p>
    <w:sectPr>
      <w:footerReference w:type="default" r:id="rId4"/>
      <w:type w:val="nextPage"/>
      <w:pgSz w:w="11906" w:h="16838"/>
      <w:pgMar w:left="1701" w:right="850" w:gutter="0" w:header="0" w:top="1134" w:footer="708" w:bottom="1134"/>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XO Thames">
    <w:charset w:val="01"/>
    <w:family w:val="roman"/>
    <w:pitch w:val="default"/>
  </w:font>
  <w:font w:name="Times New Roman">
    <w:charset w:val="01"/>
    <w:family w:val="roman"/>
    <w:pitch w:val="default"/>
  </w:font>
  <w:font w:name="Tahoma">
    <w:charset w:val="01"/>
    <w:family w:val="roman"/>
    <w:pitch w:val="default"/>
  </w:font>
  <w:font w:name="PT Astra Serif">
    <w:charset w:val="01"/>
    <w:family w:val="roman"/>
    <w:pitch w:val="default"/>
  </w:font>
  <w:font w:name="Arial">
    <w:altName w:val="serif"/>
    <w:charset w:val="01"/>
    <w:family w:val="auto"/>
    <w:pitch w:val="default"/>
  </w:font>
  <w:font w:name="Tinos">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5"/>
      <w:jc w:val="right"/>
      <w:rPr/>
    </w:pPr>
    <w:r>
      <w:rPr/>
      <w:fldChar w:fldCharType="begin"/>
    </w:r>
    <w:r>
      <w:rPr/>
      <w:instrText xml:space="preserve"> PAGE </w:instrText>
    </w:r>
    <w:r>
      <w:rPr/>
      <w:fldChar w:fldCharType="separate"/>
    </w:r>
    <w:r>
      <w:rPr/>
      <w:t>17</w:t>
    </w:r>
    <w:r>
      <w:rPr/>
      <w:fldChar w:fldCharType="end"/>
    </w:r>
  </w:p>
  <w:p>
    <w:pPr>
      <w:pStyle w:val="Style15"/>
      <w:rPr/>
    </w:pPr>
    <w:r>
      <w:rPr/>
    </w:r>
  </w:p>
</w:ftr>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Tahoma" w:cs="Noto Sans Devanagari" w:asciiTheme="minorAscii" w:hAnsiTheme="minorHAnsi"/>
        <w:color w:val="000000"/>
        <w:sz w:val="22"/>
        <w:lang w:val="ru-RU" w:eastAsia="zh-CN" w:bidi="hi-IN"/>
      </w:rPr>
    </w:rPrDefault>
    <w:pPrDefault>
      <w:pPr>
        <w:suppressAutoHyphens w:val="true"/>
      </w:pPr>
    </w:pPrDefault>
  </w:docDefaults>
  <w:latentStyles w:defLockedState="0" w:defUIPriority="99" w:defSemiHidden="1" w:defUnhideWhenUsed="1" w:defQFormat="0" w:count="25">
    <w:lsdException w:name="Normal" w:uiPriority="0" w:semiHidden="0" w:unhideWhenUsed="0" w:qFormat="1"/>
    <w:lsdException w:name="heading 1" w:uiPriority="9" w:semiHidden="0" w:unhideWhenUsed="0" w:qFormat="1"/>
    <w:lsdException w:name="heading 2" w:uiPriority="9" w:semiHidden="0" w:unhideWhenUsed="0" w:qFormat="1"/>
    <w:lsdException w:name="heading 3" w:uiPriority="9" w:semiHidden="0" w:unhideWhenUsed="0" w:qFormat="1"/>
    <w:lsdException w:name="heading 4" w:uiPriority="9" w:semiHidden="0" w:unhideWhenUsed="0" w:qFormat="1"/>
    <w:lsdException w:name="heading 5" w:uiPriority="9" w:semiHidden="0" w:unhideWhenUsed="0"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Title" w:uiPriority="10" w:semiHidden="0" w:unhideWhenUsed="0" w:qFormat="1"/>
    <w:lsdException w:name="Subtitle" w:uiPriority="11" w:semiHidden="0" w:unhideWhenUsed="0" w:qFormat="1"/>
    <w:lsdException w:name="Header and Footer" w:semiHidden="0" w:unhideWhenUsed="0" w:qFormat="0"/>
    <w:lsdException w:name="Footnote" w:semiHidden="0" w:unhideWhenUsed="0" w:qFormat="0"/>
    <w:lsdException w:name="Endnote" w:semiHidden="0" w:unhideWhenUsed="0" w:qFormat="0"/>
    <w:lsdException w:name="toc 1" w:uiPriority="39" w:semiHidden="0" w:unhideWhenUsed="0" w:qFormat="0"/>
    <w:lsdException w:name="toc 2" w:uiPriority="39" w:semiHidden="0" w:unhideWhenUsed="0" w:qFormat="0"/>
    <w:lsdException w:name="toc 3" w:uiPriority="39" w:semiHidden="0" w:unhideWhenUsed="0" w:qFormat="0"/>
    <w:lsdException w:name="toc 4" w:uiPriority="39" w:semiHidden="0" w:unhideWhenUsed="0" w:qFormat="0"/>
    <w:lsdException w:name="toc 5" w:uiPriority="39" w:semiHidden="0" w:unhideWhenUsed="0" w:qFormat="0"/>
    <w:lsdException w:name="toc 6" w:uiPriority="39" w:semiHidden="0" w:unhideWhenUsed="0" w:qFormat="0"/>
    <w:lsdException w:name="toc 7" w:uiPriority="39" w:semiHidden="0" w:unhideWhenUsed="0" w:qFormat="0"/>
    <w:lsdException w:name="toc 8" w:uiPriority="39" w:semiHidden="0" w:unhideWhenUsed="0" w:qFormat="0"/>
    <w:lsdException w:name="toc 9" w:uiPriority="39" w:semiHidden="0" w:unhideWhenUsed="0" w:qFormat="0"/>
    <w:lsdException w:name="Hyperlink" w:semiHidden="0" w:unhideWhenUsed="0" w:qFormat="0"/>
  </w:latentStyles>
  <w:style w:type="paragraph" w:styleId="Normal" w:default="1">
    <w:name w:val="Normal"/>
    <w:uiPriority w:val="0"/>
    <w:qFormat/>
    <w:pPr>
      <w:widowControl/>
      <w:bidi w:val="0"/>
      <w:spacing w:lineRule="auto" w:line="276" w:before="0" w:after="200"/>
      <w:ind w:left="0" w:right="0" w:hanging="0"/>
      <w:jc w:val="left"/>
    </w:pPr>
    <w:rPr>
      <w:rFonts w:ascii="Calibri" w:hAnsi="Calibri" w:eastAsia="Tahoma" w:cs="Noto Sans Devanagari" w:asciiTheme="minorAscii" w:hAnsiTheme="minorHAnsi"/>
      <w:color w:val="000000"/>
      <w:spacing w:val="0"/>
      <w:kern w:val="0"/>
      <w:sz w:val="22"/>
      <w:szCs w:val="20"/>
      <w:lang w:val="ru-RU" w:eastAsia="zh-CN" w:bidi="hi-IN"/>
    </w:rPr>
  </w:style>
  <w:style w:type="paragraph" w:styleId="1">
    <w:name w:val="Heading 1"/>
    <w:next w:val="Normal"/>
    <w:uiPriority w:val="9"/>
    <w:qFormat/>
    <w:pPr>
      <w:widowControl/>
      <w:bidi w:val="0"/>
      <w:spacing w:lineRule="auto" w:line="276" w:before="120" w:after="120"/>
      <w:ind w:left="0" w:right="0" w:hanging="0"/>
      <w:jc w:val="both"/>
      <w:outlineLvl w:val="0"/>
    </w:pPr>
    <w:rPr>
      <w:rFonts w:ascii="XO Thames" w:hAnsi="XO Thames" w:eastAsia="Tahoma" w:cs="Noto Sans Devanagari"/>
      <w:b/>
      <w:color w:val="000000"/>
      <w:spacing w:val="0"/>
      <w:kern w:val="0"/>
      <w:sz w:val="32"/>
      <w:szCs w:val="20"/>
      <w:lang w:val="ru-RU" w:eastAsia="zh-CN" w:bidi="hi-IN"/>
    </w:rPr>
  </w:style>
  <w:style w:type="paragraph" w:styleId="2">
    <w:name w:val="Heading 2"/>
    <w:next w:val="Normal"/>
    <w:uiPriority w:val="9"/>
    <w:qFormat/>
    <w:pPr>
      <w:widowControl/>
      <w:bidi w:val="0"/>
      <w:spacing w:lineRule="auto" w:line="276" w:before="120" w:after="120"/>
      <w:ind w:left="0" w:right="0" w:hanging="0"/>
      <w:jc w:val="both"/>
      <w:outlineLvl w:val="1"/>
    </w:pPr>
    <w:rPr>
      <w:rFonts w:ascii="XO Thames" w:hAnsi="XO Thames" w:eastAsia="Tahoma" w:cs="Noto Sans Devanagari"/>
      <w:b/>
      <w:color w:val="000000"/>
      <w:spacing w:val="0"/>
      <w:kern w:val="0"/>
      <w:sz w:val="28"/>
      <w:szCs w:val="20"/>
      <w:lang w:val="ru-RU" w:eastAsia="zh-CN" w:bidi="hi-IN"/>
    </w:rPr>
  </w:style>
  <w:style w:type="paragraph" w:styleId="3">
    <w:name w:val="Heading 3"/>
    <w:next w:val="Normal"/>
    <w:uiPriority w:val="9"/>
    <w:qFormat/>
    <w:pPr>
      <w:widowControl/>
      <w:bidi w:val="0"/>
      <w:spacing w:lineRule="auto" w:line="276" w:before="120" w:after="120"/>
      <w:ind w:left="0" w:right="0" w:hanging="0"/>
      <w:jc w:val="both"/>
      <w:outlineLvl w:val="2"/>
    </w:pPr>
    <w:rPr>
      <w:rFonts w:ascii="XO Thames" w:hAnsi="XO Thames" w:eastAsia="Tahoma" w:cs="Noto Sans Devanagari"/>
      <w:b/>
      <w:color w:val="000000"/>
      <w:spacing w:val="0"/>
      <w:kern w:val="0"/>
      <w:sz w:val="26"/>
      <w:szCs w:val="20"/>
      <w:lang w:val="ru-RU" w:eastAsia="zh-CN" w:bidi="hi-IN"/>
    </w:rPr>
  </w:style>
  <w:style w:type="paragraph" w:styleId="4">
    <w:name w:val="Heading 4"/>
    <w:next w:val="Normal"/>
    <w:uiPriority w:val="9"/>
    <w:qFormat/>
    <w:pPr>
      <w:widowControl/>
      <w:bidi w:val="0"/>
      <w:spacing w:lineRule="auto" w:line="276" w:before="120" w:after="120"/>
      <w:ind w:left="0" w:right="0" w:hanging="0"/>
      <w:jc w:val="both"/>
      <w:outlineLvl w:val="3"/>
    </w:pPr>
    <w:rPr>
      <w:rFonts w:ascii="XO Thames" w:hAnsi="XO Thames" w:eastAsia="Tahoma" w:cs="Noto Sans Devanagari"/>
      <w:b/>
      <w:color w:val="000000"/>
      <w:spacing w:val="0"/>
      <w:kern w:val="0"/>
      <w:sz w:val="24"/>
      <w:szCs w:val="20"/>
      <w:lang w:val="ru-RU" w:eastAsia="zh-CN" w:bidi="hi-IN"/>
    </w:rPr>
  </w:style>
  <w:style w:type="paragraph" w:styleId="5">
    <w:name w:val="Heading 5"/>
    <w:next w:val="Normal"/>
    <w:uiPriority w:val="9"/>
    <w:qFormat/>
    <w:pPr>
      <w:widowControl/>
      <w:bidi w:val="0"/>
      <w:spacing w:lineRule="auto" w:line="276" w:before="120" w:after="120"/>
      <w:ind w:left="0" w:right="0" w:hanging="0"/>
      <w:jc w:val="both"/>
      <w:outlineLvl w:val="4"/>
    </w:pPr>
    <w:rPr>
      <w:rFonts w:ascii="XO Thames" w:hAnsi="XO Thames" w:eastAsia="Tahoma" w:cs="Noto Sans Devanagari"/>
      <w:b/>
      <w:color w:val="000000"/>
      <w:spacing w:val="0"/>
      <w:kern w:val="0"/>
      <w:sz w:val="22"/>
      <w:szCs w:val="20"/>
      <w:lang w:val="ru-RU" w:eastAsia="zh-CN" w:bidi="hi-IN"/>
    </w:rPr>
  </w:style>
  <w:style w:type="character" w:styleId="Footer">
    <w:name w:val="Footer"/>
    <w:qFormat/>
    <w:rPr/>
  </w:style>
  <w:style w:type="character" w:styleId="Contents2">
    <w:name w:val="Contents 2"/>
    <w:qFormat/>
    <w:rPr>
      <w:rFonts w:ascii="XO Thames" w:hAnsi="XO Thames"/>
      <w:sz w:val="28"/>
    </w:rPr>
  </w:style>
  <w:style w:type="character" w:styleId="Contents4">
    <w:name w:val="Contents 4"/>
    <w:qFormat/>
    <w:rPr>
      <w:rFonts w:ascii="XO Thames" w:hAnsi="XO Thames"/>
      <w:sz w:val="28"/>
    </w:rPr>
  </w:style>
  <w:style w:type="character" w:styleId="Contents6">
    <w:name w:val="Contents 6"/>
    <w:qFormat/>
    <w:rPr>
      <w:rFonts w:ascii="XO Thames" w:hAnsi="XO Thames"/>
      <w:sz w:val="28"/>
    </w:rPr>
  </w:style>
  <w:style w:type="character" w:styleId="Contents7">
    <w:name w:val="Contents 7"/>
    <w:qFormat/>
    <w:rPr>
      <w:rFonts w:ascii="XO Thames" w:hAnsi="XO Thames"/>
      <w:sz w:val="28"/>
    </w:rPr>
  </w:style>
  <w:style w:type="character" w:styleId="Endnote">
    <w:name w:val="Endnote"/>
    <w:link w:val="Endnote1"/>
    <w:qFormat/>
    <w:rPr>
      <w:rFonts w:ascii="XO Thames" w:hAnsi="XO Thames"/>
      <w:sz w:val="22"/>
    </w:rPr>
  </w:style>
  <w:style w:type="character" w:styleId="Heading3">
    <w:name w:val="Heading 3"/>
    <w:qFormat/>
    <w:rPr>
      <w:rFonts w:ascii="XO Thames" w:hAnsi="XO Thames"/>
      <w:b/>
      <w:sz w:val="26"/>
    </w:rPr>
  </w:style>
  <w:style w:type="character" w:styleId="Header">
    <w:name w:val="Header"/>
    <w:qFormat/>
    <w:rPr/>
  </w:style>
  <w:style w:type="character" w:styleId="Contents3">
    <w:name w:val="Contents 3"/>
    <w:qFormat/>
    <w:rPr>
      <w:rFonts w:ascii="XO Thames" w:hAnsi="XO Thames"/>
      <w:sz w:val="28"/>
    </w:rPr>
  </w:style>
  <w:style w:type="character" w:styleId="NoSpacing">
    <w:name w:val="No Spacing"/>
    <w:link w:val="NoSpacing1"/>
    <w:qFormat/>
    <w:rPr/>
  </w:style>
  <w:style w:type="character" w:styleId="Heading5">
    <w:name w:val="Heading 5"/>
    <w:qFormat/>
    <w:rPr>
      <w:rFonts w:ascii="XO Thames" w:hAnsi="XO Thames"/>
      <w:b/>
      <w:sz w:val="22"/>
    </w:rPr>
  </w:style>
  <w:style w:type="character" w:styleId="Heading1">
    <w:name w:val="Heading 1"/>
    <w:qFormat/>
    <w:rPr>
      <w:rFonts w:ascii="XO Thames" w:hAnsi="XO Thames"/>
      <w:b/>
      <w:sz w:val="32"/>
    </w:rPr>
  </w:style>
  <w:style w:type="character" w:styleId="-">
    <w:name w:val="Hyperlink"/>
    <w:rPr>
      <w:color w:val="0000FF"/>
      <w:u w:val="single"/>
    </w:rPr>
  </w:style>
  <w:style w:type="character" w:styleId="Footnote">
    <w:name w:val="Footnote"/>
    <w:link w:val="Footnote1"/>
    <w:qFormat/>
    <w:rPr>
      <w:rFonts w:ascii="XO Thames" w:hAnsi="XO Thames"/>
      <w:sz w:val="22"/>
    </w:rPr>
  </w:style>
  <w:style w:type="character" w:styleId="DefaultParagraphFont">
    <w:name w:val="Default Paragraph Font"/>
    <w:link w:val="DefaultParagraphFont1"/>
    <w:qFormat/>
    <w:rPr/>
  </w:style>
  <w:style w:type="character" w:styleId="Contents1">
    <w:name w:val="Contents 1"/>
    <w:qFormat/>
    <w:rPr>
      <w:rFonts w:ascii="XO Thames" w:hAnsi="XO Thames"/>
      <w:b/>
      <w:sz w:val="28"/>
    </w:rPr>
  </w:style>
  <w:style w:type="character" w:styleId="NormalWeb">
    <w:name w:val="Normal (Web)"/>
    <w:link w:val="NormalWeb1"/>
    <w:qFormat/>
    <w:rPr>
      <w:rFonts w:ascii="Times New Roman" w:hAnsi="Times New Roman"/>
      <w:sz w:val="24"/>
    </w:rPr>
  </w:style>
  <w:style w:type="character" w:styleId="HeaderandFooter">
    <w:name w:val="Header and Footer"/>
    <w:qFormat/>
    <w:rPr>
      <w:rFonts w:ascii="XO Thames" w:hAnsi="XO Thames"/>
      <w:sz w:val="28"/>
    </w:rPr>
  </w:style>
  <w:style w:type="character" w:styleId="Contents9">
    <w:name w:val="Contents 9"/>
    <w:qFormat/>
    <w:rPr>
      <w:rFonts w:ascii="XO Thames" w:hAnsi="XO Thames"/>
      <w:sz w:val="28"/>
    </w:rPr>
  </w:style>
  <w:style w:type="character" w:styleId="Contents8">
    <w:name w:val="Contents 8"/>
    <w:qFormat/>
    <w:rPr>
      <w:rFonts w:ascii="XO Thames" w:hAnsi="XO Thames"/>
      <w:sz w:val="28"/>
    </w:rPr>
  </w:style>
  <w:style w:type="character" w:styleId="BalloonText">
    <w:name w:val="Balloon Text"/>
    <w:link w:val="BalloonText1"/>
    <w:qFormat/>
    <w:rPr>
      <w:rFonts w:ascii="Tahoma" w:hAnsi="Tahoma"/>
      <w:sz w:val="16"/>
    </w:rPr>
  </w:style>
  <w:style w:type="character" w:styleId="Contents5">
    <w:name w:val="Contents 5"/>
    <w:qFormat/>
    <w:rPr>
      <w:rFonts w:ascii="XO Thames" w:hAnsi="XO Thames"/>
      <w:sz w:val="28"/>
    </w:rPr>
  </w:style>
  <w:style w:type="character" w:styleId="Subtitle">
    <w:name w:val="Subtitle"/>
    <w:qFormat/>
    <w:rPr>
      <w:rFonts w:ascii="XO Thames" w:hAnsi="XO Thames"/>
      <w:i/>
      <w:sz w:val="24"/>
    </w:rPr>
  </w:style>
  <w:style w:type="character" w:styleId="Title">
    <w:name w:val="Title"/>
    <w:qFormat/>
    <w:rPr>
      <w:rFonts w:ascii="XO Thames" w:hAnsi="XO Thames"/>
      <w:b/>
      <w:caps/>
      <w:sz w:val="40"/>
    </w:rPr>
  </w:style>
  <w:style w:type="character" w:styleId="Heading4">
    <w:name w:val="Heading 4"/>
    <w:qFormat/>
    <w:rPr>
      <w:rFonts w:ascii="XO Thames" w:hAnsi="XO Thames"/>
      <w:b/>
      <w:sz w:val="24"/>
    </w:rPr>
  </w:style>
  <w:style w:type="character" w:styleId="Heading2">
    <w:name w:val="Heading 2"/>
    <w:qFormat/>
    <w:rPr>
      <w:rFonts w:ascii="XO Thames" w:hAnsi="XO Thames"/>
      <w:b/>
      <w:sz w:val="28"/>
    </w:rPr>
  </w:style>
  <w:style w:type="character" w:styleId="Strong">
    <w:name w:val="Strong"/>
    <w:basedOn w:val="DefaultParagraphFont"/>
    <w:link w:val="Strong1"/>
    <w:qFormat/>
    <w:rPr>
      <w:b/>
    </w:rPr>
  </w:style>
  <w:style w:type="paragraph" w:styleId="Style9">
    <w:name w:val="Заголовок"/>
    <w:basedOn w:val="Normal"/>
    <w:next w:val="Style10"/>
    <w:qFormat/>
    <w:pPr>
      <w:keepNext w:val="true"/>
      <w:spacing w:before="240" w:after="120"/>
    </w:pPr>
    <w:rPr>
      <w:rFonts w:ascii="PT Astra Serif" w:hAnsi="PT Astra Serif" w:eastAsia="Tahoma" w:cs="Noto Sans Devanagari"/>
      <w:sz w:val="28"/>
      <w:szCs w:val="28"/>
    </w:rPr>
  </w:style>
  <w:style w:type="paragraph" w:styleId="Style10">
    <w:name w:val="Body Text"/>
    <w:basedOn w:val="Normal"/>
    <w:pPr>
      <w:spacing w:lineRule="auto" w:line="276" w:before="0" w:after="140"/>
    </w:pPr>
    <w:rPr/>
  </w:style>
  <w:style w:type="paragraph" w:styleId="Style11">
    <w:name w:val="List"/>
    <w:basedOn w:val="Style10"/>
    <w:pPr/>
    <w:rPr>
      <w:rFonts w:ascii="PT Astra Serif" w:hAnsi="PT Astra Serif" w:cs="Noto Sans Devanagari"/>
    </w:rPr>
  </w:style>
  <w:style w:type="paragraph" w:styleId="Style12">
    <w:name w:val="Caption"/>
    <w:basedOn w:val="Normal"/>
    <w:qFormat/>
    <w:pPr>
      <w:suppressLineNumbers/>
      <w:spacing w:before="120" w:after="120"/>
    </w:pPr>
    <w:rPr>
      <w:rFonts w:ascii="PT Astra Serif" w:hAnsi="PT Astra Serif" w:cs="Noto Sans Devanagari"/>
      <w:i/>
      <w:iCs/>
      <w:sz w:val="24"/>
      <w:szCs w:val="24"/>
    </w:rPr>
  </w:style>
  <w:style w:type="paragraph" w:styleId="Style13">
    <w:name w:val="Указатель"/>
    <w:basedOn w:val="Normal"/>
    <w:qFormat/>
    <w:pPr>
      <w:suppressLineNumbers/>
    </w:pPr>
    <w:rPr>
      <w:rFonts w:ascii="PT Astra Serif" w:hAnsi="PT Astra Serif" w:cs="Noto Sans Devanagari"/>
    </w:rPr>
  </w:style>
  <w:style w:type="paragraph" w:styleId="Style14">
    <w:name w:val="Колонтитул"/>
    <w:qFormat/>
    <w:pPr>
      <w:widowControl/>
      <w:bidi w:val="0"/>
      <w:spacing w:lineRule="auto" w:line="240" w:before="0" w:after="200"/>
      <w:ind w:left="0" w:right="0" w:hanging="0"/>
      <w:jc w:val="both"/>
    </w:pPr>
    <w:rPr>
      <w:rFonts w:ascii="XO Thames" w:hAnsi="XO Thames" w:eastAsia="Tahoma" w:cs="Noto Sans Devanagari"/>
      <w:color w:val="000000"/>
      <w:spacing w:val="0"/>
      <w:kern w:val="0"/>
      <w:sz w:val="28"/>
      <w:szCs w:val="20"/>
      <w:lang w:val="ru-RU" w:eastAsia="zh-CN" w:bidi="hi-IN"/>
    </w:rPr>
  </w:style>
  <w:style w:type="paragraph" w:styleId="Style15">
    <w:name w:val="Footer"/>
    <w:basedOn w:val="Normal"/>
    <w:pPr>
      <w:tabs>
        <w:tab w:val="clear" w:pos="708"/>
        <w:tab w:val="center" w:pos="4677" w:leader="none"/>
        <w:tab w:val="right" w:pos="9355" w:leader="none"/>
      </w:tabs>
      <w:spacing w:lineRule="auto" w:line="240" w:before="0" w:after="0"/>
    </w:pPr>
    <w:rPr/>
  </w:style>
  <w:style w:type="paragraph" w:styleId="21">
    <w:name w:val="TOC 2"/>
    <w:next w:val="Normal"/>
    <w:uiPriority w:val="39"/>
    <w:pPr>
      <w:widowControl/>
      <w:bidi w:val="0"/>
      <w:spacing w:lineRule="auto" w:line="276" w:before="0" w:after="200"/>
      <w:ind w:left="200" w:right="0" w:hanging="0"/>
      <w:jc w:val="left"/>
    </w:pPr>
    <w:rPr>
      <w:rFonts w:ascii="XO Thames" w:hAnsi="XO Thames" w:eastAsia="Tahoma" w:cs="Noto Sans Devanagari"/>
      <w:color w:val="000000"/>
      <w:spacing w:val="0"/>
      <w:kern w:val="0"/>
      <w:sz w:val="28"/>
      <w:szCs w:val="20"/>
      <w:lang w:val="ru-RU" w:eastAsia="zh-CN" w:bidi="hi-IN"/>
    </w:rPr>
  </w:style>
  <w:style w:type="paragraph" w:styleId="41">
    <w:name w:val="TOC 4"/>
    <w:next w:val="Normal"/>
    <w:uiPriority w:val="39"/>
    <w:pPr>
      <w:widowControl/>
      <w:bidi w:val="0"/>
      <w:spacing w:lineRule="auto" w:line="276" w:before="0" w:after="200"/>
      <w:ind w:left="600" w:right="0" w:hanging="0"/>
      <w:jc w:val="left"/>
    </w:pPr>
    <w:rPr>
      <w:rFonts w:ascii="XO Thames" w:hAnsi="XO Thames" w:eastAsia="Tahoma" w:cs="Noto Sans Devanagari"/>
      <w:color w:val="000000"/>
      <w:spacing w:val="0"/>
      <w:kern w:val="0"/>
      <w:sz w:val="28"/>
      <w:szCs w:val="20"/>
      <w:lang w:val="ru-RU" w:eastAsia="zh-CN" w:bidi="hi-IN"/>
    </w:rPr>
  </w:style>
  <w:style w:type="paragraph" w:styleId="6">
    <w:name w:val="TOC 6"/>
    <w:next w:val="Normal"/>
    <w:uiPriority w:val="39"/>
    <w:pPr>
      <w:widowControl/>
      <w:bidi w:val="0"/>
      <w:spacing w:lineRule="auto" w:line="276" w:before="0" w:after="200"/>
      <w:ind w:left="1000" w:right="0" w:hanging="0"/>
      <w:jc w:val="left"/>
    </w:pPr>
    <w:rPr>
      <w:rFonts w:ascii="XO Thames" w:hAnsi="XO Thames" w:eastAsia="Tahoma" w:cs="Noto Sans Devanagari"/>
      <w:color w:val="000000"/>
      <w:spacing w:val="0"/>
      <w:kern w:val="0"/>
      <w:sz w:val="28"/>
      <w:szCs w:val="20"/>
      <w:lang w:val="ru-RU" w:eastAsia="zh-CN" w:bidi="hi-IN"/>
    </w:rPr>
  </w:style>
  <w:style w:type="paragraph" w:styleId="7">
    <w:name w:val="TOC 7"/>
    <w:next w:val="Normal"/>
    <w:uiPriority w:val="39"/>
    <w:pPr>
      <w:widowControl/>
      <w:bidi w:val="0"/>
      <w:spacing w:lineRule="auto" w:line="276" w:before="0" w:after="200"/>
      <w:ind w:left="1200" w:right="0" w:hanging="0"/>
      <w:jc w:val="left"/>
    </w:pPr>
    <w:rPr>
      <w:rFonts w:ascii="XO Thames" w:hAnsi="XO Thames" w:eastAsia="Tahoma" w:cs="Noto Sans Devanagari"/>
      <w:color w:val="000000"/>
      <w:spacing w:val="0"/>
      <w:kern w:val="0"/>
      <w:sz w:val="28"/>
      <w:szCs w:val="20"/>
      <w:lang w:val="ru-RU" w:eastAsia="zh-CN" w:bidi="hi-IN"/>
    </w:rPr>
  </w:style>
  <w:style w:type="paragraph" w:styleId="Endnote1">
    <w:name w:val="Endnote"/>
    <w:link w:val="Endnote"/>
    <w:qFormat/>
    <w:pPr>
      <w:widowControl/>
      <w:bidi w:val="0"/>
      <w:spacing w:lineRule="auto" w:line="276" w:before="0" w:after="200"/>
      <w:ind w:left="0" w:right="0" w:firstLine="851"/>
      <w:jc w:val="both"/>
    </w:pPr>
    <w:rPr>
      <w:rFonts w:ascii="XO Thames" w:hAnsi="XO Thames" w:eastAsia="Tahoma" w:cs="Noto Sans Devanagari"/>
      <w:color w:val="000000"/>
      <w:spacing w:val="0"/>
      <w:kern w:val="0"/>
      <w:sz w:val="22"/>
      <w:szCs w:val="20"/>
      <w:lang w:val="ru-RU" w:eastAsia="zh-CN" w:bidi="hi-IN"/>
    </w:rPr>
  </w:style>
  <w:style w:type="paragraph" w:styleId="Style16">
    <w:name w:val="Header"/>
    <w:basedOn w:val="Normal"/>
    <w:pPr>
      <w:tabs>
        <w:tab w:val="clear" w:pos="708"/>
        <w:tab w:val="center" w:pos="4677" w:leader="none"/>
        <w:tab w:val="right" w:pos="9355" w:leader="none"/>
      </w:tabs>
      <w:spacing w:lineRule="auto" w:line="240" w:before="0" w:after="0"/>
    </w:pPr>
    <w:rPr/>
  </w:style>
  <w:style w:type="paragraph" w:styleId="31">
    <w:name w:val="TOC 3"/>
    <w:next w:val="Normal"/>
    <w:uiPriority w:val="39"/>
    <w:pPr>
      <w:widowControl/>
      <w:bidi w:val="0"/>
      <w:spacing w:lineRule="auto" w:line="276" w:before="0" w:after="200"/>
      <w:ind w:left="400" w:right="0" w:hanging="0"/>
      <w:jc w:val="left"/>
    </w:pPr>
    <w:rPr>
      <w:rFonts w:ascii="XO Thames" w:hAnsi="XO Thames" w:eastAsia="Tahoma" w:cs="Noto Sans Devanagari"/>
      <w:color w:val="000000"/>
      <w:spacing w:val="0"/>
      <w:kern w:val="0"/>
      <w:sz w:val="28"/>
      <w:szCs w:val="20"/>
      <w:lang w:val="ru-RU" w:eastAsia="zh-CN" w:bidi="hi-IN"/>
    </w:rPr>
  </w:style>
  <w:style w:type="paragraph" w:styleId="NoSpacing1">
    <w:name w:val="No Spacing"/>
    <w:link w:val="NoSpacing"/>
    <w:qFormat/>
    <w:pPr>
      <w:widowControl/>
      <w:bidi w:val="0"/>
      <w:spacing w:lineRule="auto" w:line="240" w:before="0" w:after="0"/>
      <w:ind w:left="0" w:right="0" w:hanging="0"/>
      <w:jc w:val="left"/>
    </w:pPr>
    <w:rPr>
      <w:rFonts w:ascii="Calibri" w:hAnsi="Calibri" w:eastAsia="Tahoma" w:cs="Noto Sans Devanagari" w:asciiTheme="minorAscii" w:hAnsiTheme="minorHAnsi"/>
      <w:color w:val="000000"/>
      <w:spacing w:val="0"/>
      <w:kern w:val="0"/>
      <w:sz w:val="22"/>
      <w:szCs w:val="20"/>
      <w:lang w:val="ru-RU" w:eastAsia="zh-CN" w:bidi="hi-IN"/>
    </w:rPr>
  </w:style>
  <w:style w:type="paragraph" w:styleId="Internetlink">
    <w:name w:val="Internet link"/>
    <w:qFormat/>
    <w:pPr>
      <w:widowControl/>
      <w:bidi w:val="0"/>
      <w:spacing w:lineRule="auto" w:line="276" w:before="0" w:after="200"/>
      <w:ind w:left="0" w:right="0" w:hanging="0"/>
      <w:jc w:val="left"/>
    </w:pPr>
    <w:rPr>
      <w:rFonts w:ascii="Calibri" w:hAnsi="Calibri" w:eastAsia="Tahoma" w:cs="Noto Sans Devanagari"/>
      <w:color w:val="0000FF"/>
      <w:spacing w:val="0"/>
      <w:kern w:val="0"/>
      <w:sz w:val="22"/>
      <w:szCs w:val="20"/>
      <w:u w:val="single"/>
      <w:lang w:val="ru-RU" w:eastAsia="zh-CN" w:bidi="hi-IN"/>
    </w:rPr>
  </w:style>
  <w:style w:type="paragraph" w:styleId="Footnote1">
    <w:name w:val="Footnote"/>
    <w:link w:val="Footnote"/>
    <w:qFormat/>
    <w:pPr>
      <w:widowControl/>
      <w:bidi w:val="0"/>
      <w:spacing w:lineRule="auto" w:line="276" w:before="0" w:after="200"/>
      <w:ind w:left="0" w:right="0" w:firstLine="851"/>
      <w:jc w:val="both"/>
    </w:pPr>
    <w:rPr>
      <w:rFonts w:ascii="XO Thames" w:hAnsi="XO Thames" w:eastAsia="Tahoma" w:cs="Noto Sans Devanagari"/>
      <w:color w:val="000000"/>
      <w:spacing w:val="0"/>
      <w:kern w:val="0"/>
      <w:sz w:val="22"/>
      <w:szCs w:val="20"/>
      <w:lang w:val="ru-RU" w:eastAsia="zh-CN" w:bidi="hi-IN"/>
    </w:rPr>
  </w:style>
  <w:style w:type="paragraph" w:styleId="DefaultParagraphFont1">
    <w:name w:val="Default Paragraph Font"/>
    <w:link w:val="DefaultParagraphFont"/>
    <w:qFormat/>
    <w:pPr>
      <w:widowControl/>
      <w:bidi w:val="0"/>
      <w:spacing w:lineRule="auto" w:line="276" w:before="0" w:after="200"/>
      <w:ind w:left="0" w:right="0" w:hanging="0"/>
      <w:jc w:val="left"/>
    </w:pPr>
    <w:rPr>
      <w:rFonts w:ascii="Calibri" w:hAnsi="Calibri" w:eastAsia="Tahoma" w:cs="Noto Sans Devanagari" w:asciiTheme="minorAscii" w:hAnsiTheme="minorHAnsi"/>
      <w:color w:val="000000"/>
      <w:spacing w:val="0"/>
      <w:kern w:val="0"/>
      <w:sz w:val="22"/>
      <w:szCs w:val="20"/>
      <w:lang w:val="ru-RU" w:eastAsia="zh-CN" w:bidi="hi-IN"/>
    </w:rPr>
  </w:style>
  <w:style w:type="paragraph" w:styleId="11">
    <w:name w:val="TOC 1"/>
    <w:next w:val="Normal"/>
    <w:uiPriority w:val="39"/>
    <w:pPr>
      <w:widowControl/>
      <w:bidi w:val="0"/>
      <w:spacing w:lineRule="auto" w:line="276" w:before="0" w:after="200"/>
      <w:ind w:left="0" w:right="0" w:hanging="0"/>
      <w:jc w:val="left"/>
    </w:pPr>
    <w:rPr>
      <w:rFonts w:ascii="XO Thames" w:hAnsi="XO Thames" w:eastAsia="Tahoma" w:cs="Noto Sans Devanagari"/>
      <w:b/>
      <w:color w:val="000000"/>
      <w:spacing w:val="0"/>
      <w:kern w:val="0"/>
      <w:sz w:val="28"/>
      <w:szCs w:val="20"/>
      <w:lang w:val="ru-RU" w:eastAsia="zh-CN" w:bidi="hi-IN"/>
    </w:rPr>
  </w:style>
  <w:style w:type="paragraph" w:styleId="NormalWeb1">
    <w:name w:val="Normal (Web)"/>
    <w:basedOn w:val="Normal"/>
    <w:link w:val="NormalWeb"/>
    <w:qFormat/>
    <w:pPr>
      <w:spacing w:lineRule="auto" w:line="240" w:beforeAutospacing="1" w:afterAutospacing="1"/>
    </w:pPr>
    <w:rPr>
      <w:rFonts w:ascii="Times New Roman" w:hAnsi="Times New Roman"/>
      <w:sz w:val="24"/>
    </w:rPr>
  </w:style>
  <w:style w:type="paragraph" w:styleId="9">
    <w:name w:val="TOC 9"/>
    <w:next w:val="Normal"/>
    <w:uiPriority w:val="39"/>
    <w:pPr>
      <w:widowControl/>
      <w:bidi w:val="0"/>
      <w:spacing w:lineRule="auto" w:line="276" w:before="0" w:after="200"/>
      <w:ind w:left="1600" w:right="0" w:hanging="0"/>
      <w:jc w:val="left"/>
    </w:pPr>
    <w:rPr>
      <w:rFonts w:ascii="XO Thames" w:hAnsi="XO Thames" w:eastAsia="Tahoma" w:cs="Noto Sans Devanagari"/>
      <w:color w:val="000000"/>
      <w:spacing w:val="0"/>
      <w:kern w:val="0"/>
      <w:sz w:val="28"/>
      <w:szCs w:val="20"/>
      <w:lang w:val="ru-RU" w:eastAsia="zh-CN" w:bidi="hi-IN"/>
    </w:rPr>
  </w:style>
  <w:style w:type="paragraph" w:styleId="8">
    <w:name w:val="TOC 8"/>
    <w:next w:val="Normal"/>
    <w:uiPriority w:val="39"/>
    <w:pPr>
      <w:widowControl/>
      <w:bidi w:val="0"/>
      <w:spacing w:lineRule="auto" w:line="276" w:before="0" w:after="200"/>
      <w:ind w:left="1400" w:right="0" w:hanging="0"/>
      <w:jc w:val="left"/>
    </w:pPr>
    <w:rPr>
      <w:rFonts w:ascii="XO Thames" w:hAnsi="XO Thames" w:eastAsia="Tahoma" w:cs="Noto Sans Devanagari"/>
      <w:color w:val="000000"/>
      <w:spacing w:val="0"/>
      <w:kern w:val="0"/>
      <w:sz w:val="28"/>
      <w:szCs w:val="20"/>
      <w:lang w:val="ru-RU" w:eastAsia="zh-CN" w:bidi="hi-IN"/>
    </w:rPr>
  </w:style>
  <w:style w:type="paragraph" w:styleId="BalloonText1">
    <w:name w:val="Balloon Text"/>
    <w:basedOn w:val="Normal"/>
    <w:link w:val="BalloonText"/>
    <w:qFormat/>
    <w:pPr>
      <w:spacing w:lineRule="auto" w:line="240" w:before="0" w:after="0"/>
    </w:pPr>
    <w:rPr>
      <w:rFonts w:ascii="Tahoma" w:hAnsi="Tahoma"/>
      <w:sz w:val="16"/>
    </w:rPr>
  </w:style>
  <w:style w:type="paragraph" w:styleId="51">
    <w:name w:val="TOC 5"/>
    <w:next w:val="Normal"/>
    <w:uiPriority w:val="39"/>
    <w:pPr>
      <w:widowControl/>
      <w:bidi w:val="0"/>
      <w:spacing w:lineRule="auto" w:line="276" w:before="0" w:after="200"/>
      <w:ind w:left="800" w:right="0" w:hanging="0"/>
      <w:jc w:val="left"/>
    </w:pPr>
    <w:rPr>
      <w:rFonts w:ascii="XO Thames" w:hAnsi="XO Thames" w:eastAsia="Tahoma" w:cs="Noto Sans Devanagari"/>
      <w:color w:val="000000"/>
      <w:spacing w:val="0"/>
      <w:kern w:val="0"/>
      <w:sz w:val="28"/>
      <w:szCs w:val="20"/>
      <w:lang w:val="ru-RU" w:eastAsia="zh-CN" w:bidi="hi-IN"/>
    </w:rPr>
  </w:style>
  <w:style w:type="paragraph" w:styleId="Style17">
    <w:name w:val="Subtitle"/>
    <w:next w:val="Normal"/>
    <w:uiPriority w:val="11"/>
    <w:qFormat/>
    <w:pPr>
      <w:widowControl/>
      <w:bidi w:val="0"/>
      <w:spacing w:lineRule="auto" w:line="276" w:before="0" w:after="200"/>
      <w:ind w:left="0" w:right="0" w:hanging="0"/>
      <w:jc w:val="both"/>
    </w:pPr>
    <w:rPr>
      <w:rFonts w:ascii="XO Thames" w:hAnsi="XO Thames" w:eastAsia="Tahoma" w:cs="Noto Sans Devanagari"/>
      <w:i/>
      <w:color w:val="000000"/>
      <w:spacing w:val="0"/>
      <w:kern w:val="0"/>
      <w:sz w:val="24"/>
      <w:szCs w:val="20"/>
      <w:lang w:val="ru-RU" w:eastAsia="zh-CN" w:bidi="hi-IN"/>
    </w:rPr>
  </w:style>
  <w:style w:type="paragraph" w:styleId="Style18">
    <w:name w:val="Title"/>
    <w:next w:val="Normal"/>
    <w:uiPriority w:val="10"/>
    <w:qFormat/>
    <w:pPr>
      <w:widowControl/>
      <w:bidi w:val="0"/>
      <w:spacing w:lineRule="auto" w:line="276" w:before="567" w:after="567"/>
      <w:ind w:left="0" w:right="0" w:hanging="0"/>
      <w:jc w:val="center"/>
    </w:pPr>
    <w:rPr>
      <w:rFonts w:ascii="XO Thames" w:hAnsi="XO Thames" w:eastAsia="Tahoma" w:cs="Noto Sans Devanagari"/>
      <w:b/>
      <w:caps/>
      <w:color w:val="000000"/>
      <w:spacing w:val="0"/>
      <w:kern w:val="0"/>
      <w:sz w:val="40"/>
      <w:szCs w:val="20"/>
      <w:lang w:val="ru-RU" w:eastAsia="zh-CN" w:bidi="hi-IN"/>
    </w:rPr>
  </w:style>
  <w:style w:type="paragraph" w:styleId="Strong1">
    <w:name w:val="Strong"/>
    <w:basedOn w:val="DefaultParagraphFont1"/>
    <w:link w:val="Strong"/>
    <w:qFormat/>
    <w:pPr/>
    <w:rPr>
      <w:b/>
    </w:rPr>
  </w:style>
  <w:style w:type="table" w:default="1" w:styleId="Style_29">
    <w:name w:val="Normal Table"/>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footer" Target="footer1.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15</TotalTime>
  <Application>LibreOffice/7.5.6.2$Linux_X86_64 LibreOffice_project/50$Build-2</Application>
  <AppVersion>15.0000</AppVersion>
  <Pages>17</Pages>
  <Words>4442</Words>
  <Characters>33777</Characters>
  <CharactersWithSpaces>38096</CharactersWithSpaces>
  <Paragraphs>149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2025-06-19T11:01:33Z</dcterms:modified>
  <cp:revision>1</cp:revision>
  <dc:subject/>
  <dc:title/>
</cp:coreProperties>
</file>